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적합 여부는 행정청의 광범위한 재량입니다</w:t>
      </w:r>
    </w:p>
    <w:p>
      <w:pPr>
        <w:pStyle w:val="law1"/>
        <w:autoSpaceDE w:val="0"/>
        <w:autoSpaceDN w:val="0"/>
        <w:spacing w:after="160"/>
      </w:pPr>
      <w:r>
        <w:rPr>
          <w:rFonts w:ascii="맑은 고딕" w:hAnsi="맑은 고딕" w:eastAsia="맑은 고딕" w:cs="맑은 고딕"/>
          <w:color w:val="000000"/>
        </w:rPr>
        <w:t>대법원 2023두38745 (2023.07.27 선고)</w:t>
      </w:r>
    </w:p>
    <w:p>
      <w:pPr>
        <w:autoSpaceDE w:val="0"/>
        <w:autoSpaceDN w:val="0"/>
        <w:spacing w:after="120"/>
      </w:pPr>
      <w:r>
        <w:rPr>
          <w:rFonts w:ascii="맑은 고딕" w:hAnsi="맑은 고딕" w:eastAsia="맑은 고딕" w:cs="맑은 고딕"/>
          <w:color w:val="000000"/>
        </w:rPr>
        <w:t>○ 폐기물처리사업계획서 반려·부적합 통보의 재량 범위와 취소소송 심리방법이 문제된 사건으로, 같은 날 선고된 2023두35661과 동일한 취지입니다. 대법원은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종합 검토하는 광범위한 재량이 인정되고, 장래 예측이 필요한 판단은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반려처분의 위법은 누가 증명하나요?</w:t>
            </w:r>
          </w:p>
          <w:p>
            <w:pPr>
              <w:autoSpaceDE w:val="0"/>
              <w:autoSpaceDN w:val="0"/>
            </w:pPr>
            <w:r>
              <w:rPr>
                <w:rFonts w:ascii="맑은 고딕" w:hAnsi="맑은 고딕" w:eastAsia="맑은 고딕" w:cs="맑은 고딕"/>
                <w:b w:val="0"/>
                <w:color w:val="000000"/>
                <w:sz w:val="19"/>
              </w:rPr>
              <w:t>A. 처분을 다투는 원고가 증명하며, 처분서가 불확정개념만 담고 있으면 행정청이 소송에서 구체적 사유를 제시하고 원고가 반박 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2023두38745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지웰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반려처분서에 처분사유를 ‘폐기물관리법 제25조 제7항 및 이 사건 지침 제3조에 따른 주민 건강 및 주변 환경 영향 여부를 확인하기 위한 주민동의서 미제출’이라고만 기재하였다.</w:t>
      </w:r>
      <w:r>
        <w:rPr>
          <w:rFonts w:ascii="맑은 고딕" w:hAnsi="맑은 고딕" w:eastAsia="맑은 고딕" w:cs="맑은 고딕"/>
          <w:color w:val="000000"/>
        </w:rPr>
        <w:br/>
      </w:r>
      <w:r>
        <w:rPr>
          <w:rFonts w:ascii="맑은 고딕" w:hAnsi="맑은 고딕" w:eastAsia="맑은 고딕" w:cs="맑은 고딕"/>
          <w:color w:val="000000"/>
        </w:rPr>
        <w:t>③ 그런데 피고는 이 사건 소송과정에서 원고가 운영하려는 폐기물처리시설(이하 ‘이 사건 처리시설’이라고 한다) 인근의 마을들과 시설들을 구체적으로 열거하면서, 이 사건 사업계획서에 따르면 원고는 영천시 전 지역에서 연간 발생하는 생활폐기물 약 21,000t을 훨씬 상회하는 연간 약 96,000t(1일 약 320t)의 폐기물을 처리하여 연간 약 75,000t(1일 약 250t)의 비성형 고형연료제품을 제조한다는 것으로, 위 제품의 제조과정과 운반과정에서 발생하는 분진, 비산먼지 등이 위 마을 및 시설 등 주변 환경에 좋지 않은 영향을 끼칠 것이라고 밝혀,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t>④ 원고가 계획한 폐기물처리사업은 1시간당 42t의 폐기물을 처리할 수 있는 파쇄시설 1대(동력 320kw)와 1시간당 18t의 폐기물을 처리하는 분쇄시설 2대(각 동력 280kw)를 사용하여 대규모로 폐합성수지류 등 폐기물의 파쇄·선별·분쇄작업을 수행할 것을 예정하고 있는바, 이로 인하여 소음, 분진, 진동이 발생할 것으로 보이고, 폐기물 및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t>⑤ 그런데 이 사건 사업계획서에 주변 환경에 대한 영향을 방지하기 위하여 기재되어 있는 구체적인 조치는 폐기물 저장창고의 옥내화, 파쇄·선별·분쇄과정에서 발생하는 비산먼지를 방지하기 위한 여과집진시설 2대의 설치뿐인바, 위와 같은 조치들만으로는 이 사건 처리시설로 인하여 발생할 수 있는 환경상의 악영향을 방지하는 것이 불가능하다고 본 피고의 판단이 불합리하다고 단정할 수 없다.</w:t>
      </w:r>
      <w:r>
        <w:rPr>
          <w:rFonts w:ascii="맑은 고딕" w:hAnsi="맑은 고딕" w:eastAsia="맑은 고딕" w:cs="맑은 고딕"/>
          <w:color w:val="000000"/>
        </w:rPr>
        <w:br/>
      </w:r>
      <w:r>
        <w:rPr>
          <w:rFonts w:ascii="맑은 고딕" w:hAnsi="맑은 고딕" w:eastAsia="맑은 고딕" w:cs="맑은 고딕"/>
          <w:color w:val="000000"/>
        </w:rPr>
        <w:t>⑥ 이 사건 처리시설 예정지로부터 약 300m 떨어진 곳에는 석계리 마을이, 약 650m 떨어진 곳에는 삼산리 마을이, 약 1㎞ 떨어진 곳에는 삼포리 마을이, 약 1.5km 떨어진 곳에는 청정리 마을이 각각 위치하여 있는데, 이 사건 처리시설이 위 각 마을에 어떠한 영향을 주는지 여부를 확인할 수 있는 자료는 전혀 제출되지 아니하였다.</w:t>
      </w:r>
      <w:r>
        <w:rPr>
          <w:rFonts w:ascii="맑은 고딕" w:hAnsi="맑은 고딕" w:eastAsia="맑은 고딕" w:cs="맑은 고딕"/>
          <w:color w:val="000000"/>
        </w:rPr>
        <w:br/>
      </w:r>
      <w:r>
        <w:rPr>
          <w:rFonts w:ascii="맑은 고딕" w:hAnsi="맑은 고딕" w:eastAsia="맑은 고딕" w:cs="맑은 고딕"/>
          <w:color w:val="000000"/>
        </w:rPr>
        <w:t>⑦ 특히 이 사건 처리시설 예정지와 석계리 마을 사이는 거리가 가까울 뿐만 아니라 야산으로 둘러싸인 협곡 지형에 해당하여 비산먼지·소음 등을 막을 장애물이 없으므로, 석계리 마을 주민들에 대하여는 이 사건 처리시설에서 발생하는 비산먼지, 소음 등으로 인한 생활환경 침해 정도가 적지 않을 것으로 보인다.</w:t>
      </w:r>
      <w:r>
        <w:rPr>
          <w:rFonts w:ascii="맑은 고딕" w:hAnsi="맑은 고딕" w:eastAsia="맑은 고딕" w:cs="맑은 고딕"/>
          <w:color w:val="000000"/>
        </w:rPr>
        <w:br/>
      </w:r>
      <w:r>
        <w:rPr>
          <w:rFonts w:ascii="맑은 고딕" w:hAnsi="맑은 고딕" w:eastAsia="맑은 고딕" w:cs="맑은 고딕"/>
          <w:color w:val="000000"/>
        </w:rPr>
        <w:t>⑧ 원고는 이 사건 처리시설로 매일 약 320t의 폐기물을 운반하고, 이 사건 처리시설에서 약 250t의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⑨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⑩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⑪ 환경이 심각하게 오염될 우려가 있는 경우에는 이를 미리 방지하는 것이 중요한데, 현재 원고가 제출한 증거만으로는 ‘주민들의 건강이나 주변 환경에 영향을 미칠 우려’를 처분사유로 하는 이 사건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따라서 원심으로서는 단순히 피고가 보완서류 미이행(주민동의서 미제출)을 이유로 이 사건 반려처분을 하였다고 보아, 이 사건 반려처분에 재량권 일탈·남용의 위법이 있다고 단정할 것이 아니라, 원고로 하여금 이 사건 처리시설 예정지의 자연환경, 기반시설과 인근의 주거시설, 상업시설, 산업시설, 근린생활시설 등의 위치, 규모 및 현황을 확인할 수 있는 자료 및 원고가 운영할 이 사건 처리시설이 주민들의 건강과 주변 환경에 어떠한 영향을 주는지에 관한 주장 및 자료를 제출하게 하여 이 사건 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그럼에도 원심은 그에 관한 조치를 취하거나 심리를 하지 않고, 곧바로 이 사건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https://www.law.go.kr/판례/(2023두38745)</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#2023두38745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