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2"/>
        </w:rPr>
        <w:t>산업단지 관리기본계획에 안 맞으면 폐기물처리사업계획서가 반려될까요?</w:t>
      </w:r>
    </w:p>
    <w:p>
      <w:pPr>
        <w:pStyle w:val="law1"/>
        <w:autoSpaceDE w:val="0"/>
        <w:autoSpaceDN w:val="0"/>
        <w:spacing w:after="160"/>
      </w:pPr>
      <w:r>
        <w:rPr>
          <w:rFonts w:ascii="맑은 고딕" w:hAnsi="맑은 고딕" w:eastAsia="맑은 고딕" w:cs="맑은 고딕"/>
          <w:color w:val="000000"/>
        </w:rPr>
        <w:t>대법원 2021두45671 (2021. 12. 30. 선고) · 폐기물처리사업계획서부적합통보취소</w:t>
      </w:r>
    </w:p>
    <w:p>
      <w:pPr>
        <w:autoSpaceDE w:val="0"/>
        <w:autoSpaceDN w:val="0"/>
        <w:spacing w:after="120"/>
      </w:pPr>
      <w:r>
        <w:rPr>
          <w:rFonts w:ascii="맑은 고딕" w:hAnsi="맑은 고딕" w:eastAsia="맑은 고딕" w:cs="맑은 고딕"/>
          <w:color w:val="000000"/>
        </w:rPr>
        <w:t>○ 산업단지 안에서 폐기물처리업(금속원료재생업)을 하려는 사업계획서가 산업단지 관리기본계획에 맞지 않을 때, 폐기물관리법으로 부적합 통보를 할 수 있는지가 문제된 사건입니다. 대법원은 가능하다고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산업단지 관리기본계획에 맞지 않는 사업계획서를 부적합 통보할 수 있나요?</w:t>
            </w:r>
          </w:p>
          <w:p>
            <w:pPr>
              <w:autoSpaceDE w:val="0"/>
              <w:autoSpaceDN w:val="0"/>
            </w:pPr>
            <w:r>
              <w:rPr>
                <w:rFonts w:ascii="맑은 고딕" w:hAnsi="맑은 고딕" w:eastAsia="맑은 고딕" w:cs="맑은 고딕"/>
                <w:b w:val="0"/>
                <w:color w:val="000000"/>
                <w:sz w:val="19"/>
              </w:rPr>
              <w:t>A. 네. 관리기본계획에 저촉되면 시·도지사는 폐기물관리법 제25조 제2항 제2호(입지가 다른 법률에 저촉)를 근거로 부적합 통보를 할 수 있습니다.</w:t>
            </w:r>
          </w:p>
          <w:p>
            <w:pPr>
              <w:autoSpaceDE w:val="0"/>
              <w:autoSpaceDN w:val="0"/>
            </w:pPr>
          </w:p>
          <w:p>
            <w:pPr>
              <w:autoSpaceDE w:val="0"/>
              <w:autoSpaceDN w:val="0"/>
            </w:pPr>
            <w:r>
              <w:rPr>
                <w:rFonts w:ascii="맑은 고딕" w:hAnsi="맑은 고딕" w:eastAsia="맑은 고딕" w:cs="맑은 고딕"/>
                <w:b/>
                <w:color w:val="000000"/>
                <w:sz w:val="19"/>
              </w:rPr>
              <w:t>Q. 담당 공무원의 구두 답변을 믿었다면 신뢰보호를 받을 수 있나요?</w:t>
            </w:r>
          </w:p>
          <w:p>
            <w:pPr>
              <w:autoSpaceDE w:val="0"/>
              <w:autoSpaceDN w:val="0"/>
            </w:pPr>
            <w:r>
              <w:rPr>
                <w:rFonts w:ascii="맑은 고딕" w:hAnsi="맑은 고딕" w:eastAsia="맑은 고딕" w:cs="맑은 고딕"/>
                <w:b w:val="0"/>
                <w:color w:val="000000"/>
                <w:sz w:val="19"/>
              </w:rPr>
              <w:t>A. 구두 답변이 관리기본계획 내용을 그대로 알려준 것에 불과하면 공적 견해표명으로 볼 수 없어 신뢰보호 대상이 아닙니다.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900"/>
          </w:tcPr>
          <w:p>
            <w:pPr>
              <w:autoSpaceDE w:val="0"/>
              <w:autoSpaceDN w:val="0"/>
            </w:pPr>
            <w:r/>
            <w:r>
              <w:rPr>
                <w:rFonts w:ascii="맑은 고딕" w:hAnsi="맑은 고딕" w:eastAsia="맑은 고딕" w:cs="맑은 고딕"/>
                <w:b w:val="0"/>
                <w:color w:val="000000"/>
                <w:sz w:val="19"/>
              </w:rPr>
              <w:t>2021두45671</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선고일·법원</w:t>
            </w:r>
          </w:p>
        </w:tc>
        <w:tc>
          <w:tcPr>
            <w:tcW w:type="pct" w:w="3900"/>
          </w:tcPr>
          <w:p>
            <w:pPr>
              <w:autoSpaceDE w:val="0"/>
              <w:autoSpaceDN w:val="0"/>
            </w:pPr>
            <w:r/>
            <w:r>
              <w:rPr>
                <w:rFonts w:ascii="맑은 고딕" w:hAnsi="맑은 고딕" w:eastAsia="맑은 고딕" w:cs="맑은 고딕"/>
                <w:b w:val="0"/>
                <w:color w:val="000000"/>
                <w:sz w:val="19"/>
              </w:rPr>
              <w:t>2021. 12. 30. · 대법원</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사건종류</w:t>
            </w:r>
          </w:p>
        </w:tc>
        <w:tc>
          <w:tcPr>
            <w:tcW w:type="pct" w:w="3900"/>
          </w:tcPr>
          <w:p>
            <w:pPr>
              <w:autoSpaceDE w:val="0"/>
              <w:autoSpaceDN w:val="0"/>
            </w:pPr>
            <w:r/>
            <w:r>
              <w:rPr>
                <w:rFonts w:ascii="맑은 고딕" w:hAnsi="맑은 고딕" w:eastAsia="맑은 고딕" w:cs="맑은 고딕"/>
                <w:b w:val="0"/>
                <w:color w:val="000000"/>
                <w:sz w:val="19"/>
              </w:rPr>
              <w:t>일반행정 (폐기물처리사업계획서부적합통보취소)</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원심</w:t>
            </w:r>
          </w:p>
        </w:tc>
        <w:tc>
          <w:tcPr>
            <w:tcW w:type="pct" w:w="3900"/>
          </w:tcPr>
          <w:p>
            <w:pPr>
              <w:autoSpaceDE w:val="0"/>
              <w:autoSpaceDN w:val="0"/>
            </w:pPr>
            <w:r/>
            <w:r>
              <w:rPr>
                <w:rFonts w:ascii="맑은 고딕" w:hAnsi="맑은 고딕" w:eastAsia="맑은 고딕" w:cs="맑은 고딕"/>
                <w:b w:val="0"/>
                <w:color w:val="000000"/>
                <w:sz w:val="19"/>
              </w:rPr>
              <w:t>대전고법(청주) 2020누1880 (2021. 6. 23.)</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결과</w:t>
            </w:r>
          </w:p>
        </w:tc>
        <w:tc>
          <w:tcPr>
            <w:tcW w:type="pct" w:w="3900"/>
          </w:tcPr>
          <w:p>
            <w:pPr>
              <w:autoSpaceDE w:val="0"/>
              <w:autoSpaceDN w:val="0"/>
            </w:pPr>
            <w:r/>
            <w:r>
              <w:rPr>
                <w:rFonts w:ascii="맑은 고딕" w:hAnsi="맑은 고딕" w:eastAsia="맑은 고딕" w:cs="맑은 고딕"/>
                <w:b w:val="0"/>
                <w:color w:val="000000"/>
                <w:sz w:val="19"/>
              </w:rPr>
              <w:t>원심 파기환송 (행정청에 유리)</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사실관계</w:t>
      </w:r>
    </w:p>
    <w:p>
      <w:pPr>
        <w:autoSpaceDE w:val="0"/>
        <w:autoSpaceDN w:val="0"/>
      </w:pPr>
      <w:r>
        <w:rPr>
          <w:rFonts w:ascii="맑은 고딕" w:hAnsi="맑은 고딕" w:eastAsia="맑은 고딕" w:cs="맑은 고딕"/>
          <w:color w:val="000000"/>
        </w:rPr>
        <w:t>(1) 원고는 산업단지에 ‘전자부품 제조업’으로 입주계약을 체결하고 공장을 신축하였습니다.</w:t>
      </w:r>
    </w:p>
    <w:p>
      <w:pPr>
        <w:autoSpaceDE w:val="0"/>
        <w:autoSpaceDN w:val="0"/>
      </w:pPr>
    </w:p>
    <w:p>
      <w:pPr>
        <w:autoSpaceDE w:val="0"/>
        <w:autoSpaceDN w:val="0"/>
      </w:pPr>
      <w:r>
        <w:rPr>
          <w:rFonts w:ascii="맑은 고딕" w:hAnsi="맑은 고딕" w:eastAsia="맑은 고딕" w:cs="맑은 고딕"/>
          <w:color w:val="000000"/>
        </w:rPr>
        <w:t>(2) 원고는 그 공장에서 주석찌꺼기를 재활용해 주석괴를 만드는(금속원료재생업) 폐기물처리사업계획서를 제출하였습니다.</w:t>
      </w:r>
    </w:p>
    <w:p>
      <w:pPr>
        <w:autoSpaceDE w:val="0"/>
        <w:autoSpaceDN w:val="0"/>
      </w:pPr>
    </w:p>
    <w:p>
      <w:pPr>
        <w:autoSpaceDE w:val="0"/>
        <w:autoSpaceDN w:val="0"/>
      </w:pPr>
      <w:r>
        <w:rPr>
          <w:rFonts w:ascii="맑은 고딕" w:hAnsi="맑은 고딕" w:eastAsia="맑은 고딕" w:cs="맑은 고딕"/>
          <w:color w:val="000000"/>
        </w:rPr>
        <w:t>(3) 음성군수는 관리기본계획상 그 공장에서 금속원료재생업을 할 수 없다는 이유로 부적합 통보를 하였습니다.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쟁점</w:t>
      </w:r>
    </w:p>
    <w:p>
      <w:pPr>
        <w:autoSpaceDE w:val="0"/>
        <w:autoSpaceDN w:val="0"/>
      </w:pPr>
      <w:r>
        <w:rPr>
          <w:rFonts w:ascii="맑은 고딕" w:hAnsi="맑은 고딕" w:eastAsia="맑은 고딕" w:cs="맑은 고딕"/>
          <w:color w:val="000000"/>
        </w:rPr>
        <w:t>① 산업단지 관리기본계획에 맞지 않는 사업계획서를 폐기물관리법 제25조 제2항 제2호(다른 법률 저촉)로 부적합 통보할 수 있는지, ② 담당 공무원의 구두 답변이 신뢰보호의 대상인지가 쟁점입니다.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원심과 대법원의 판단</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1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구분</w:t>
            </w:r>
          </w:p>
        </w:tc>
        <w:tc>
          <w:tcPr>
            <w:tcW w:type="pct" w:w="39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판단</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원심</w:t>
            </w:r>
          </w:p>
        </w:tc>
        <w:tc>
          <w:tcPr>
            <w:tcW w:type="pct" w:w="3900"/>
          </w:tcPr>
          <w:p>
            <w:pPr>
              <w:autoSpaceDE w:val="0"/>
              <w:autoSpaceDN w:val="0"/>
            </w:pPr>
            <w:r/>
            <w:r>
              <w:rPr>
                <w:rFonts w:ascii="맑은 고딕" w:hAnsi="맑은 고딕" w:eastAsia="맑은 고딕" w:cs="맑은 고딕"/>
                <w:b w:val="0"/>
                <w:color w:val="000000"/>
                <w:sz w:val="19"/>
              </w:rPr>
              <w:t>쟁점조항은 공정에 1차금속 제조가 포함되면 금속원료재생업을 허용하는 취지이므로 계획에 위배되지 않고, 구두 답변을 믿은 원고에 대한 처분은 신뢰보호원칙 위반.</w:t>
            </w:r>
          </w:p>
        </w:tc>
      </w:tr>
      <w:tr>
        <w:tc>
          <w:tcPr>
            <w:tcW w:type="pct" w:w="1100"/>
            <w:shd w:val="clear" w:color="auto" w:fill="F2F2F2"/>
          </w:tcPr>
          <w:p>
            <w:pPr>
              <w:autoSpaceDE w:val="0"/>
              <w:autoSpaceDN w:val="0"/>
            </w:pPr>
            <w:r/>
            <w:r>
              <w:rPr>
                <w:rFonts w:ascii="맑은 고딕" w:hAnsi="맑은 고딕" w:eastAsia="맑은 고딕" w:cs="맑은 고딕"/>
                <w:b/>
                <w:color w:val="000000"/>
                <w:sz w:val="19"/>
              </w:rPr>
              <w:t>대법원</w:t>
            </w:r>
          </w:p>
        </w:tc>
        <w:tc>
          <w:tcPr>
            <w:tcW w:type="pct" w:w="3900"/>
          </w:tcPr>
          <w:p>
            <w:pPr>
              <w:autoSpaceDE w:val="0"/>
              <w:autoSpaceDN w:val="0"/>
            </w:pPr>
            <w:r/>
            <w:r>
              <w:rPr>
                <w:rFonts w:ascii="맑은 고딕" w:hAnsi="맑은 고딕" w:eastAsia="맑은 고딕" w:cs="맑은 고딕"/>
                <w:b w:val="0"/>
                <w:color w:val="000000"/>
                <w:sz w:val="19"/>
              </w:rPr>
              <w:t>관리기본계획은 1차금속 제조업으로 입주·배치된 업체만 금속원료재생업을 허용하는 취지이므로, 전자부품 제조업으로 입주한 원고의 계획은 이에 위배된다. 따라서 ‘입지가 다른 법률에 저촉된다’는 이유의 부적합 통보가 가능하다. 담당자의 구두 답변은 관리기본계획 내용을 알려준 것에 불과해 공적 견해표명으로 볼 수 없다 → 파기환송.</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판결 요지</w:t>
      </w:r>
    </w:p>
    <w:p>
      <w:pPr>
        <w:autoSpaceDE w:val="0"/>
        <w:autoSpaceDN w:val="0"/>
      </w:pPr>
      <w:r>
        <w:rPr>
          <w:rFonts w:ascii="맑은 고딕" w:hAnsi="맑은 고딕" w:eastAsia="맑은 고딕" w:cs="맑은 고딕"/>
          <w:color w:val="000000"/>
        </w:rPr>
        <w:t>① 산업단지에서 폐기물처리업을 하려는 사업계획서가 관리기본계획에 맞지 않으면, 시·도지사는 폐기물관리법 제25조 제2항 제2호(입지가 다른 법률에 저촉)를 근거로 부적합 통보를 할 수 있습니다.</w:t>
      </w:r>
    </w:p>
    <w:p>
      <w:pPr>
        <w:autoSpaceDE w:val="0"/>
        <w:autoSpaceDN w:val="0"/>
      </w:pPr>
    </w:p>
    <w:p>
      <w:pPr>
        <w:autoSpaceDE w:val="0"/>
        <w:autoSpaceDN w:val="0"/>
      </w:pPr>
      <w:r>
        <w:rPr>
          <w:rFonts w:ascii="맑은 고딕" w:hAnsi="맑은 고딕" w:eastAsia="맑은 고딕" w:cs="맑은 고딕"/>
          <w:color w:val="000000"/>
        </w:rPr>
        <w:t>② 관리기본계획상 ‘1차금속 제조업 입주·배치’ 업체만 금속원료재생업이 허용되므로, 다른 업종으로 입주한 업체의 계획은 이에 위배됩니다.</w:t>
      </w:r>
    </w:p>
    <w:p>
      <w:pPr>
        <w:autoSpaceDE w:val="0"/>
        <w:autoSpaceDN w:val="0"/>
      </w:pPr>
    </w:p>
    <w:p>
      <w:pPr>
        <w:autoSpaceDE w:val="0"/>
        <w:autoSpaceDN w:val="0"/>
      </w:pPr>
      <w:r>
        <w:rPr>
          <w:rFonts w:ascii="맑은 고딕" w:hAnsi="맑은 고딕" w:eastAsia="맑은 고딕" w:cs="맑은 고딕"/>
          <w:color w:val="000000"/>
        </w:rPr>
        <w:t>③ 담당 공무원의 구두 문의 답변이 계획 내용을 그대로 알려준 것에 불과하면, 신뢰보호의 대상인 공적 견해표명으로 볼 수 없습니다.</w:t>
      </w:r>
    </w:p>
    <w:p>
      <w:pPr>
        <w:autoSpaceDE w:val="0"/>
        <w:autoSpaceDN w:val="0"/>
      </w:pPr>
    </w:p>
    <w:p>
      <w:pPr>
        <w:autoSpaceDE w:val="0"/>
        <w:autoSpaceDN w:val="0"/>
      </w:pPr>
    </w:p>
    <w:p>
      <w:pPr>
        <w:pStyle w:val="2"/>
        <w:autoSpaceDE w:val="0"/>
        <w:autoSpaceDN w:val="0"/>
        <w:spacing w:before="200"/>
      </w:pPr>
      <w:r>
        <w:rPr>
          <w:rFonts w:ascii="맑은 고딕" w:hAnsi="맑은 고딕" w:eastAsia="맑은 고딕" w:cs="맑은 고딕"/>
          <w:color w:val="000000"/>
        </w:rPr>
        <w:t>적용 법령 조항·문구</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4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6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폐기물관리법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제25조 제2항 제2호</w:t>
            </w:r>
          </w:p>
        </w:tc>
        <w:tc>
          <w:tcPr>
            <w:tcW w:type="pct" w:w="3600"/>
          </w:tcPr>
          <w:p>
            <w:pPr>
              <w:autoSpaceDE w:val="0"/>
              <w:autoSpaceDN w:val="0"/>
            </w:pPr>
            <w:r/>
            <w:r>
              <w:rPr>
                <w:rFonts w:ascii="맑은 고딕" w:hAnsi="맑은 고딕" w:eastAsia="맑은 고딕" w:cs="맑은 고딕"/>
                <w:b w:val="0"/>
                <w:color w:val="000000"/>
                <w:sz w:val="19"/>
              </w:rPr>
              <w:t xml:space="preserve">시·도지사는 </w:t>
            </w:r>
            <w:r>
              <w:rPr>
                <w:rFonts w:ascii="맑은 고딕" w:hAnsi="맑은 고딕" w:eastAsia="맑은 고딕" w:cs="맑은 고딕"/>
                <w:b w:val="0"/>
                <w:color w:val="000000"/>
                <w:sz w:val="19"/>
                <w:u w:val="single"/>
              </w:rPr>
              <w:t>폐기물처리시설의 입지 등이 다른 법률에 저촉되는지 여부</w:t>
            </w:r>
            <w:r>
              <w:rPr>
                <w:rFonts w:ascii="맑은 고딕" w:hAnsi="맑은 고딕" w:eastAsia="맑은 고딕" w:cs="맑은 고딕"/>
                <w:b w:val="0"/>
                <w:color w:val="000000"/>
                <w:sz w:val="19"/>
              </w:rPr>
              <w:t>를 검토하여 부적합 통보를 할 수 있다.</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산업집적법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제33조·제38조</w:t>
            </w:r>
          </w:p>
        </w:tc>
        <w:tc>
          <w:tcPr>
            <w:tcW w:type="pct" w:w="3600"/>
          </w:tcPr>
          <w:p>
            <w:pPr>
              <w:autoSpaceDE w:val="0"/>
              <w:autoSpaceDN w:val="0"/>
            </w:pPr>
            <w:r/>
            <w:r>
              <w:rPr>
                <w:rFonts w:ascii="맑은 고딕" w:hAnsi="맑은 고딕" w:eastAsia="맑은 고딕" w:cs="맑은 고딕"/>
                <w:b w:val="0"/>
                <w:color w:val="000000"/>
                <w:sz w:val="19"/>
              </w:rPr>
              <w:t xml:space="preserve">산업단지 관리기관은 입주대상업종·용도별 구역·업종배치 등 </w:t>
            </w:r>
            <w:r>
              <w:rPr>
                <w:rFonts w:ascii="맑은 고딕" w:hAnsi="맑은 고딕" w:eastAsia="맑은 고딕" w:cs="맑은 고딕"/>
                <w:b w:val="0"/>
                <w:color w:val="000000"/>
                <w:sz w:val="19"/>
                <w:u w:val="single"/>
              </w:rPr>
              <w:t>관리기본계획</w:t>
            </w:r>
            <w:r>
              <w:rPr>
                <w:rFonts w:ascii="맑은 고딕" w:hAnsi="맑은 고딕" w:eastAsia="맑은 고딕" w:cs="맑은 고딕"/>
                <w:b w:val="0"/>
                <w:color w:val="000000"/>
                <w:sz w:val="19"/>
              </w:rPr>
              <w:t xml:space="preserve">을 수립하고, 입주·변경계약은 </w:t>
            </w:r>
            <w:r>
              <w:rPr>
                <w:rFonts w:ascii="맑은 고딕" w:hAnsi="맑은 고딕" w:eastAsia="맑은 고딕" w:cs="맑은 고딕"/>
                <w:b w:val="0"/>
                <w:color w:val="000000"/>
                <w:sz w:val="19"/>
                <w:u w:val="single"/>
              </w:rPr>
              <w:t>관련 법령과 관리기본계획에 적합</w:t>
            </w:r>
            <w:r>
              <w:rPr>
                <w:rFonts w:ascii="맑은 고딕" w:hAnsi="맑은 고딕" w:eastAsia="맑은 고딕" w:cs="맑은 고딕"/>
                <w:b w:val="0"/>
                <w:color w:val="000000"/>
                <w:sz w:val="19"/>
              </w:rPr>
              <w:t>하여야 한다.</w:t>
            </w:r>
          </w:p>
        </w:tc>
      </w:tr>
      <w:tr>
        <w:tc>
          <w:tcPr>
            <w:tcW w:type="pct" w:w="1400"/>
            <w:shd w:val="clear" w:color="auto" w:fill="F2F2F2"/>
          </w:tcPr>
          <w:p>
            <w:pPr>
              <w:autoSpaceDE w:val="0"/>
              <w:autoSpaceDN w:val="0"/>
            </w:pPr>
            <w:r/>
            <w:r>
              <w:rPr>
                <w:rFonts w:ascii="맑은 고딕" w:hAnsi="맑은 고딕" w:eastAsia="맑은 고딕" w:cs="맑은 고딕"/>
                <w:b/>
                <w:color w:val="000000"/>
                <w:sz w:val="19"/>
              </w:rPr>
              <w:t>행정기본법 제12조</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행정절차법 제4조 제2항</w:t>
            </w:r>
          </w:p>
        </w:tc>
        <w:tc>
          <w:tcPr>
            <w:tcW w:type="pct" w:w="3600"/>
          </w:tcPr>
          <w:p>
            <w:pPr>
              <w:autoSpaceDE w:val="0"/>
              <w:autoSpaceDN w:val="0"/>
            </w:pPr>
            <w:r/>
            <w:r>
              <w:rPr>
                <w:rFonts w:ascii="맑은 고딕" w:hAnsi="맑은 고딕" w:eastAsia="맑은 고딕" w:cs="맑은 고딕"/>
                <w:b w:val="0"/>
                <w:color w:val="000000"/>
                <w:sz w:val="19"/>
              </w:rPr>
              <w:t xml:space="preserve">신뢰보호원칙. </w:t>
            </w:r>
            <w:r>
              <w:rPr>
                <w:rFonts w:ascii="맑은 고딕" w:hAnsi="맑은 고딕" w:eastAsia="맑은 고딕" w:cs="맑은 고딕"/>
                <w:b w:val="0"/>
                <w:color w:val="000000"/>
                <w:sz w:val="19"/>
                <w:u w:val="single"/>
              </w:rPr>
              <w:t>공적 견해표명</w:t>
            </w:r>
            <w:r>
              <w:rPr>
                <w:rFonts w:ascii="맑은 고딕" w:hAnsi="맑은 고딕" w:eastAsia="맑은 고딕" w:cs="맑은 고딕"/>
                <w:b w:val="0"/>
                <w:color w:val="000000"/>
                <w:sz w:val="19"/>
              </w:rPr>
              <w:t>이 있어야 하며, 담당자의 지위·경위 등에 비추어 그 언동을 신뢰할 수 있는 경우여야 한다(구두 문의 답변은 이에 해당하지 않음).</w:t>
            </w:r>
          </w:p>
        </w:tc>
      </w:tr>
    </w:tbl>
    <w:p>
      <w:pPr>
        <w:pStyle w:val="note"/>
        <w:autoSpaceDE w:val="0"/>
        <w:autoSpaceDN w:val="0"/>
        <w:spacing w:before="80"/>
      </w:pPr>
      <w:r>
        <w:rPr>
          <w:rFonts w:ascii="맑은 고딕" w:hAnsi="맑은 고딕" w:eastAsia="맑은 고딕" w:cs="맑은 고딕"/>
          <w:color w:val="000000"/>
        </w:rPr>
        <w:t>※ 본 정리는 판결문을 요약한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https://www.law.go.kr/판례/(2021두45671)</w:t>
      </w:r>
    </w:p>
    <w:p>
      <w:pPr>
        <w:autoSpaceDE w:val="0"/>
        <w:autoSpaceDN w:val="0"/>
        <w:spacing w:before="80"/>
      </w:pPr>
      <w:r>
        <w:rPr>
          <w:rFonts w:ascii="맑은 고딕" w:hAnsi="맑은 고딕" w:eastAsia="맑은 고딕" w:cs="맑은 고딕"/>
          <w:color w:val="000000"/>
          <w:sz w:val="18"/>
        </w:rPr>
        <w:t>태그  #폐기물처리사업계획서 #부적합통보 #산업단지 #관리기본계획 #금속원료재생업 #신뢰보호원칙 #입주계약 #폐기물처리업허가 #대법원판례 #2021두45671 #인허가서대리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