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40"/>
      </w:pPr>
      <w:r>
        <w:rPr>
          <w:rFonts w:ascii="맑은 고딕" w:hAnsi="맑은 고딕" w:eastAsia="맑은 고딕"/>
          <w:b/>
          <w:color w:val="1F3864"/>
          <w:sz w:val="32"/>
        </w:rPr>
        <w:t>폐기물 처리업자의 보관량·보관기간 총정리</w:t>
      </w:r>
    </w:p>
    <w:p>
      <w:pPr>
        <w:pStyle w:val="law1"/>
      </w:pPr>
      <w:r>
        <w:rPr>
          <w:rFonts w:ascii="맑은 고딕" w:hAnsi="맑은 고딕" w:eastAsia="맑은 고딕"/>
        </w:rPr>
        <w:t>폐기물관리법 제25조제9항 → 시행규칙 제31조 (30일·60일·180일)</w:t>
      </w:r>
    </w:p>
    <w:p>
      <w:pPr>
        <w:spacing w:after="160"/>
      </w:pPr>
      <w:r>
        <w:rPr>
          <w:rFonts w:ascii="맑은 고딕" w:hAnsi="맑은 고딕" w:eastAsia="맑은 고딕"/>
          <w:color w:val="333333"/>
          <w:sz w:val="20"/>
        </w:rPr>
        <w:t>폐기물처리업자는 아무 때나, 아무 만큼 폐기물을 쌓아둘 수 없습니다. 허가·승인받은 장소에, 정해진 양과 기간 안에서만 보관할 수 있습니다. 그 양과 기간을 정한 것이 시행규칙 제31조입니다. 업종과 폐기물 종류, 보관 목적에 따라 5일부터 180일까지 달라집니다.</w:t>
      </w:r>
    </w:p>
    <w:p>
      <w:pPr>
        <w:pStyle w:val="2"/>
      </w:pPr>
      <w:r>
        <w:rPr>
          <w:rFonts w:ascii="맑은 고딕" w:hAnsi="맑은 고딕" w:eastAsia="맑은 고딕"/>
        </w:rPr>
        <w:t>1. 근거와 기본 개념</w:t>
      </w:r>
    </w:p>
    <w:p>
      <w:pPr>
        <w:spacing w:after="80"/>
      </w:pPr>
      <w:r>
        <w:rPr>
          <w:rFonts w:ascii="맑은 고딕" w:hAnsi="맑은 고딕" w:eastAsia="맑은 고딕"/>
          <w:color w:val="333333"/>
          <w:sz w:val="19"/>
        </w:rPr>
        <w:t>폐기물관리법 제25조제9항은 처리업자의 준수사항을 정하고, 그중 보관 장소와 보관량·기간을 시행규칙에 위임합니다.</w:t>
      </w:r>
    </w:p>
    <w:tbl>
      <w:tblPr>
        <w:tblW w:w="5000" w:type="pct"/>
        <w:tblCellSpacing w:w="15" w:type="dxa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0" w:lastColumn="0" w:noHBand="0" w:noVBand="1"/>
      </w:tblPr>
      <w:tblGrid>
        <w:gridCol w:w="1800"/>
        <w:gridCol w:w="4860"/>
        <w:gridCol w:w="2340"/>
      </w:tblGrid>
      <w:tr>
        <w:tc>
          <w:tcPr>
            <w:tcW w:type="dxa" w:w="1800"/>
            <w:vAlign w:val="center"/>
            <w:shd w:val="clear" w:color="auto" w:fill="1F386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준수사항</w:t>
            </w:r>
          </w:p>
        </w:tc>
        <w:tc>
          <w:tcPr>
            <w:tcW w:type="dxa" w:w="4860"/>
            <w:vAlign w:val="center"/>
            <w:shd w:val="clear" w:color="auto" w:fill="1F386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내용</w:t>
            </w:r>
          </w:p>
        </w:tc>
        <w:tc>
          <w:tcPr>
            <w:tcW w:type="dxa" w:w="2340"/>
            <w:vAlign w:val="center"/>
            <w:shd w:val="clear" w:color="auto" w:fill="1F386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위임</w:t>
            </w:r>
          </w:p>
        </w:tc>
      </w:tr>
      <w:tr>
        <w:tc>
          <w:tcPr>
            <w:tcW w:type="dxa" w:w="18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보관 장소</w:t>
            </w:r>
          </w:p>
        </w:tc>
        <w:tc>
          <w:tcPr>
            <w:tcW w:type="dxa" w:w="486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허가받은 사업장 내 보관시설이나 승인받은 임시보관시설 등 적정한 장소에 보관</w:t>
            </w:r>
          </w:p>
        </w:tc>
        <w:tc>
          <w:tcPr>
            <w:tcW w:type="dxa" w:w="23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법 제25조제9항제1호</w:t>
            </w:r>
          </w:p>
        </w:tc>
      </w:tr>
      <w:tr>
        <w:tc>
          <w:tcPr>
            <w:tcW w:type="dxa" w:w="18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보관량·기간</w:t>
            </w:r>
          </w:p>
        </w:tc>
        <w:tc>
          <w:tcPr>
            <w:tcW w:type="dxa" w:w="486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환경부령으로 정하는 양 또는 기간을 초과하여 보관하지 말 것</w:t>
            </w:r>
          </w:p>
        </w:tc>
        <w:tc>
          <w:tcPr>
            <w:tcW w:type="dxa" w:w="23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법 제25조제9항제2호 → 시행규칙 제31조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맑은 고딕" w:hAnsi="맑은 고딕" w:eastAsia="맑은 고딕"/>
          <w:color w:val="333333"/>
          <w:sz w:val="19"/>
        </w:rPr>
        <w:t>보관량은 대개 '1일 처리용량(또는 재활용량)의 N일분 이하'로, 보관기간은 'N일 이내'로 정합니다. 즉 하루 처리할 수 있는 양을 기준으로 며칠치까지 쌓아둘 수 있는지를 함께 제한합니다.</w:t>
      </w:r>
    </w:p>
    <w:p>
      <w:pPr>
        <w:pStyle w:val="2"/>
      </w:pPr>
      <w:r>
        <w:rPr>
          <w:rFonts w:ascii="맑은 고딕" w:hAnsi="맑은 고딕" w:eastAsia="맑은 고딕"/>
        </w:rPr>
        <w:t>2. 업종·유형별 보관량과 보관기간 (시행규칙 제31조)</w:t>
      </w:r>
    </w:p>
    <w:tbl>
      <w:tblPr>
        <w:tblW w:w="5000" w:type="pct"/>
        <w:tblCellSpacing w:w="15" w:type="dxa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0" w:lastColumn="0" w:noHBand="0" w:noVBand="1"/>
      </w:tblPr>
      <w:tblGrid>
        <w:gridCol w:w="1440"/>
        <w:gridCol w:w="3600"/>
        <w:gridCol w:w="2340"/>
        <w:gridCol w:w="1620"/>
      </w:tblGrid>
      <w:tr>
        <w:tc>
          <w:tcPr>
            <w:tcW w:type="dxa" w:w="1440"/>
            <w:vAlign w:val="center"/>
            <w:shd w:val="clear" w:color="auto" w:fill="1F386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업종 · 유형</w:t>
            </w:r>
          </w:p>
        </w:tc>
        <w:tc>
          <w:tcPr>
            <w:tcW w:type="dxa" w:w="3600"/>
            <w:vAlign w:val="center"/>
            <w:shd w:val="clear" w:color="auto" w:fill="1F386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대상 폐기물</w:t>
            </w:r>
          </w:p>
        </w:tc>
        <w:tc>
          <w:tcPr>
            <w:tcW w:type="dxa" w:w="2340"/>
            <w:vAlign w:val="center"/>
            <w:shd w:val="clear" w:color="auto" w:fill="1F386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보관량</w:t>
            </w:r>
          </w:p>
        </w:tc>
        <w:tc>
          <w:tcPr>
            <w:tcW w:type="dxa" w:w="1620"/>
            <w:vAlign w:val="center"/>
            <w:shd w:val="clear" w:color="auto" w:fill="1F386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보관기간</w:t>
            </w:r>
          </w:p>
        </w:tc>
      </w:tr>
      <w:tr>
        <w:tc>
          <w:tcPr>
            <w:tcW w:type="dxa" w:w="14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수집운반업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임시보관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의료폐기물</w:t>
            </w:r>
          </w:p>
        </w:tc>
        <w:tc>
          <w:tcPr>
            <w:tcW w:type="dxa" w:w="23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냉장(4도 이하) 전용시설 기준</w:t>
            </w:r>
          </w:p>
        </w:tc>
        <w:tc>
          <w:tcPr>
            <w:tcW w:type="dxa" w:w="162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이내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(격리·그 밖 2일)</w:t>
            </w:r>
          </w:p>
        </w:tc>
      </w:tr>
      <w:tr>
        <w:tc>
          <w:tcPr>
            <w:tcW w:type="dxa" w:w="14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수집운반업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임시보관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의료폐기물 외</w:t>
            </w:r>
          </w:p>
        </w:tc>
        <w:tc>
          <w:tcPr>
            <w:tcW w:type="dxa" w:w="23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중량 450톤·용적 300㎥ 이하</w:t>
            </w:r>
          </w:p>
        </w:tc>
        <w:tc>
          <w:tcPr>
            <w:tcW w:type="dxa" w:w="162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이내</w:t>
            </w:r>
          </w:p>
        </w:tc>
      </w:tr>
      <w:tr>
        <w:tc>
          <w:tcPr>
            <w:tcW w:type="dxa" w:w="14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재활용업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승인 임시보관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폐전주</w:t>
            </w:r>
          </w:p>
        </w:tc>
        <w:tc>
          <w:tcPr>
            <w:tcW w:type="dxa" w:w="23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3~11월 50톤 미만 / 12~2월 100톤 미만</w:t>
            </w:r>
          </w:p>
        </w:tc>
        <w:tc>
          <w:tcPr>
            <w:tcW w:type="dxa" w:w="162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승인 조건에 따름</w:t>
            </w:r>
          </w:p>
        </w:tc>
      </w:tr>
      <w:tr>
        <w:tc>
          <w:tcPr>
            <w:tcW w:type="dxa" w:w="14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재활용업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승인 임시보관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동물성 잔재물</w:t>
            </w:r>
          </w:p>
        </w:tc>
        <w:tc>
          <w:tcPr>
            <w:tcW w:type="dxa" w:w="23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중량 150톤 미만</w:t>
            </w:r>
          </w:p>
        </w:tc>
        <w:tc>
          <w:tcPr>
            <w:tcW w:type="dxa" w:w="162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이내</w:t>
            </w:r>
          </w:p>
        </w:tc>
      </w:tr>
      <w:tr>
        <w:tc>
          <w:tcPr>
            <w:tcW w:type="dxa" w:w="14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재활용업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승인 임시보관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수액팩·수액병(보건·의료기관)</w:t>
            </w:r>
          </w:p>
        </w:tc>
        <w:tc>
          <w:tcPr>
            <w:tcW w:type="dxa" w:w="23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중량 5톤 미만</w:t>
            </w:r>
          </w:p>
        </w:tc>
        <w:tc>
          <w:tcPr>
            <w:tcW w:type="dxa" w:w="162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이내</w:t>
            </w:r>
          </w:p>
        </w:tc>
      </w:tr>
      <w:tr>
        <w:tc>
          <w:tcPr>
            <w:tcW w:type="dxa" w:w="1440"/>
            <w:vAlign w:val="center"/>
            <w:shd w:val="clear" w:color="auto" w:fill="EBF3E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</w:t>
            </w:r>
          </w:p>
        </w:tc>
        <w:tc>
          <w:tcPr>
            <w:tcW w:type="dxa" w:w="3600"/>
            <w:vAlign w:val="center"/>
            <w:shd w:val="clear" w:color="auto" w:fill="EBF3E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특정 무기성 계열(아래 60일 항목)</w:t>
            </w:r>
          </w:p>
        </w:tc>
        <w:tc>
          <w:tcPr>
            <w:tcW w:type="dxa" w:w="2340"/>
            <w:vAlign w:val="center"/>
            <w:shd w:val="clear" w:color="auto" w:fill="EBF3E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재활용량의 60일분 이하</w:t>
            </w:r>
          </w:p>
        </w:tc>
        <w:tc>
          <w:tcPr>
            <w:tcW w:type="dxa" w:w="1620"/>
            <w:vAlign w:val="center"/>
            <w:shd w:val="clear" w:color="auto" w:fill="EBF3E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60일 이내</w:t>
            </w:r>
          </w:p>
        </w:tc>
      </w:tr>
      <w:tr>
        <w:tc>
          <w:tcPr>
            <w:tcW w:type="dxa" w:w="1440"/>
            <w:vAlign w:val="center"/>
            <w:shd w:val="clear" w:color="auto" w:fill="EAF1F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</w:t>
            </w:r>
          </w:p>
        </w:tc>
        <w:tc>
          <w:tcPr>
            <w:tcW w:type="dxa" w:w="3600"/>
            <w:vAlign w:val="center"/>
            <w:shd w:val="clear" w:color="auto" w:fill="EAF1F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폐목재·폐촉매·이차전지·태양광·수입 등</w:t>
            </w:r>
          </w:p>
        </w:tc>
        <w:tc>
          <w:tcPr>
            <w:tcW w:type="dxa" w:w="2340"/>
            <w:vAlign w:val="center"/>
            <w:shd w:val="clear" w:color="auto" w:fill="EAF1F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재활용량의 180일분 이하</w:t>
            </w:r>
          </w:p>
        </w:tc>
        <w:tc>
          <w:tcPr>
            <w:tcW w:type="dxa" w:w="1620"/>
            <w:vAlign w:val="center"/>
            <w:shd w:val="clear" w:color="auto" w:fill="EAF1F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180일 이내</w:t>
            </w:r>
          </w:p>
        </w:tc>
      </w:tr>
      <w:tr>
        <w:tc>
          <w:tcPr>
            <w:tcW w:type="dxa" w:w="1440"/>
            <w:vAlign w:val="center"/>
            <w:shd w:val="clear" w:color="auto" w:fill="FDF2E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일반 보관</w:t>
            </w:r>
          </w:p>
        </w:tc>
        <w:tc>
          <w:tcPr>
            <w:tcW w:type="dxa" w:w="3600"/>
            <w:vAlign w:val="center"/>
            <w:shd w:val="clear" w:color="auto" w:fill="FDF2E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재활용·중간처분·종합처분업자의 일반 보관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(의료·위 특례 제외)</w:t>
            </w:r>
          </w:p>
        </w:tc>
        <w:tc>
          <w:tcPr>
            <w:tcW w:type="dxa" w:w="2340"/>
            <w:vAlign w:val="center"/>
            <w:shd w:val="clear" w:color="auto" w:fill="FDF2E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처리용량의 30일분 이하</w:t>
            </w:r>
          </w:p>
        </w:tc>
        <w:tc>
          <w:tcPr>
            <w:tcW w:type="dxa" w:w="1620"/>
            <w:vAlign w:val="center"/>
            <w:shd w:val="clear" w:color="auto" w:fill="FDF2E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30일 이내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(폐석면 매립 구획 6개월)</w:t>
            </w:r>
          </w:p>
        </w:tc>
      </w:tr>
      <w:tr>
        <w:tc>
          <w:tcPr>
            <w:tcW w:type="dxa" w:w="14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재활용업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태반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의료폐기물(태반)</w:t>
            </w:r>
          </w:p>
        </w:tc>
        <w:tc>
          <w:tcPr>
            <w:tcW w:type="dxa" w:w="23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임시보관시설 5톤 미만 / 그 밖 7일분</w:t>
            </w:r>
          </w:p>
        </w:tc>
        <w:tc>
          <w:tcPr>
            <w:tcW w:type="dxa" w:w="162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또는 7일</w:t>
            </w:r>
          </w:p>
        </w:tc>
      </w:tr>
      <w:tr>
        <w:tc>
          <w:tcPr>
            <w:tcW w:type="dxa" w:w="14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중간처분업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의료</w:t>
            </w:r>
          </w:p>
        </w:tc>
        <w:tc>
          <w:tcPr>
            <w:tcW w:type="dxa" w:w="36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의료폐기물</w:t>
            </w:r>
          </w:p>
        </w:tc>
        <w:tc>
          <w:tcPr>
            <w:tcW w:type="dxa" w:w="23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처분용량의 5일분 이하</w:t>
            </w:r>
          </w:p>
        </w:tc>
        <w:tc>
          <w:tcPr>
            <w:tcW w:type="dxa" w:w="162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5일 이내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(격리·조직물류 2일)</w:t>
            </w:r>
          </w:p>
        </w:tc>
      </w:tr>
    </w:tbl>
    <w:p>
      <w:pPr>
        <w:spacing w:after="80"/>
      </w:pPr>
    </w:p>
    <w:p>
      <w:pPr>
        <w:pStyle w:val="note"/>
      </w:pPr>
      <w:r>
        <w:rPr>
          <w:rFonts w:ascii="맑은 고딕" w:hAnsi="맑은 고딕" w:eastAsia="맑은 고딕"/>
        </w:rPr>
        <w:t>※ 감염병 확산으로 재난 예보·경보가 발령되거나 확산 방지에 필요하다고 인정되면, 장관이 의료폐기물의 처리기한을 따로 정할 수 있습니다.</w:t>
      </w:r>
    </w:p>
    <w:p>
      <w:pPr>
        <w:pStyle w:val="2"/>
      </w:pPr>
      <w:r>
        <w:rPr>
          <w:rFonts w:ascii="맑은 고딕" w:hAnsi="맑은 고딕" w:eastAsia="맑은 고딕"/>
        </w:rPr>
        <w:t>3. 재활용 보관, 30·60·180일 갈림 한눈 정리</w:t>
      </w:r>
    </w:p>
    <w:tbl>
      <w:tblPr>
        <w:tblW w:w="5000" w:type="pct"/>
        <w:tblCellSpacing w:w="15" w:type="dxa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0" w:lastColumn="0" w:noHBand="0" w:noVBand="1"/>
      </w:tblPr>
      <w:tblGrid>
        <w:gridCol w:w="1260"/>
        <w:gridCol w:w="5940"/>
        <w:gridCol w:w="1800"/>
      </w:tblGrid>
      <w:tr>
        <w:tc>
          <w:tcPr>
            <w:tcW w:type="dxa" w:w="1260"/>
            <w:vAlign w:val="center"/>
            <w:shd w:val="clear" w:color="auto" w:fill="1F386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보관기간</w:t>
            </w:r>
          </w:p>
        </w:tc>
        <w:tc>
          <w:tcPr>
            <w:tcW w:type="dxa" w:w="5940"/>
            <w:vAlign w:val="center"/>
            <w:shd w:val="clear" w:color="auto" w:fill="1F386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해당 폐기물</w:t>
            </w:r>
          </w:p>
        </w:tc>
        <w:tc>
          <w:tcPr>
            <w:tcW w:type="dxa" w:w="1800"/>
            <w:vAlign w:val="center"/>
            <w:shd w:val="clear" w:color="auto" w:fill="1F386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보관량</w:t>
            </w:r>
          </w:p>
        </w:tc>
      </w:tr>
      <w:tr>
        <w:tc>
          <w:tcPr>
            <w:tcW w:type="dxa" w:w="1260"/>
            <w:vAlign w:val="center"/>
            <w:shd w:val="clear" w:color="auto" w:fill="FDF2E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30일</w:t>
            </w:r>
          </w:p>
        </w:tc>
        <w:tc>
          <w:tcPr>
            <w:tcW w:type="dxa" w:w="59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재활용·중간처분·종합처분업자의 일반 보관(아래 60·180일 대상이 아닌 것)</w:t>
            </w:r>
          </w:p>
        </w:tc>
        <w:tc>
          <w:tcPr>
            <w:tcW w:type="dxa" w:w="18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처리용량의 30일분 이하</w:t>
            </w:r>
          </w:p>
        </w:tc>
      </w:tr>
      <w:tr>
        <w:tc>
          <w:tcPr>
            <w:tcW w:type="dxa" w:w="1260"/>
            <w:vAlign w:val="center"/>
            <w:shd w:val="clear" w:color="auto" w:fill="EBF3E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60일</w:t>
            </w:r>
          </w:p>
        </w:tc>
        <w:tc>
          <w:tcPr>
            <w:tcW w:type="dxa" w:w="59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폐석고·폐고무·광재·폐내화물·폐도자기조각·폐합성수지·폐금속류·폐지·폐유리·폐콘크리트전주·폐석재·폐레미콘, 그리고 시멘트·콘크리트·석제품 제조, 세륜·정수·분쇄·토사세척 시설 등에서 나온 무기성 오니</w:t>
            </w:r>
          </w:p>
        </w:tc>
        <w:tc>
          <w:tcPr>
            <w:tcW w:type="dxa" w:w="18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재활용량의 60일분 이하</w:t>
            </w:r>
          </w:p>
        </w:tc>
      </w:tr>
      <w:tr>
        <w:tc>
          <w:tcPr>
            <w:tcW w:type="dxa" w:w="1260"/>
            <w:vAlign w:val="center"/>
            <w:shd w:val="clear" w:color="auto" w:fill="EAF1F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180일</w:t>
            </w:r>
          </w:p>
        </w:tc>
        <w:tc>
          <w:tcPr>
            <w:tcW w:type="dxa" w:w="594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폐목재·폐촉매·폐김발장·석탄재·리튬이차전지(제조 부산물)·전기자동차 폐이차전지·태양광 폐패널·특정 수입폐기물</w:t>
            </w:r>
          </w:p>
        </w:tc>
        <w:tc>
          <w:tcPr>
            <w:tcW w:type="dxa" w:w="180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1일 재활용량의 180일분 이하</w:t>
            </w:r>
          </w:p>
        </w:tc>
      </w:tr>
    </w:tbl>
    <w:p>
      <w:pPr>
        <w:spacing w:after="80"/>
      </w:pPr>
    </w:p>
    <w:p>
      <w:pPr>
        <w:spacing w:after="160" w:before="40"/>
      </w:pPr>
      <w:r>
        <w:rPr>
          <w:rFonts w:ascii="맑은 고딕" w:hAnsi="맑은 고딕" w:eastAsia="맑은 고딕"/>
          <w:color w:val="333333"/>
          <w:sz w:val="19"/>
        </w:rPr>
        <w:t>60일과 180일은 '재활용을 위해 보관하는 특정 품목'에만 열어준 특례입니다. 여기에 해당하지 않으면 처리업자의 보관은 30일이 원칙입니다.</w:t>
      </w:r>
    </w:p>
    <w:p>
      <w:pPr>
        <w:pStyle w:val="2"/>
      </w:pPr>
      <w:r>
        <w:rPr>
          <w:rFonts w:ascii="맑은 고딕" w:hAnsi="맑은 고딕" w:eastAsia="맑은 고딕"/>
        </w:rPr>
        <w:t>4. 보관량·기간을 넘겨야 할 때 (연장)</w:t>
      </w:r>
    </w:p>
    <w:p>
      <w:pPr>
        <w:spacing w:after="80"/>
      </w:pPr>
      <w:r>
        <w:rPr>
          <w:rFonts w:ascii="맑은 고딕" w:hAnsi="맑은 고딕" w:eastAsia="맑은 고딕"/>
          <w:color w:val="333333"/>
          <w:sz w:val="19"/>
        </w:rPr>
        <w:t>처리업자는 허가·승인받은 보관량과 보관기간을 초과해 보관할 수 없습니다. 다만 다음 경우에는 예외가 인정됩니다.</w:t>
      </w:r>
    </w:p>
    <w:tbl>
      <w:tblPr>
        <w:tblW w:w="5000" w:type="pct"/>
        <w:tblCellSpacing w:w="15" w:type="dxa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0" w:lastColumn="0" w:noHBand="0" w:noVBand="1"/>
      </w:tblPr>
      <w:tblGrid>
        <w:gridCol w:w="1980"/>
        <w:gridCol w:w="7020"/>
      </w:tblGrid>
      <w:tr>
        <w:tc>
          <w:tcPr>
            <w:tcW w:type="dxa" w:w="1980"/>
            <w:vAlign w:val="center"/>
            <w:shd w:val="clear" w:color="auto" w:fill="1F386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예외</w:t>
            </w:r>
          </w:p>
        </w:tc>
        <w:tc>
          <w:tcPr>
            <w:tcW w:type="dxa" w:w="7020"/>
            <w:vAlign w:val="center"/>
            <w:shd w:val="clear" w:color="auto" w:fill="1F3864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요건과 절차</w:t>
            </w:r>
          </w:p>
        </w:tc>
      </w:tr>
      <w:tr>
        <w:tc>
          <w:tcPr>
            <w:tcW w:type="dxa" w:w="198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부득이한 사유</w:t>
            </w:r>
          </w:p>
        </w:tc>
        <w:tc>
          <w:tcPr>
            <w:tcW w:type="dxa" w:w="702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화재 등 중대한 사고, 방치폐기물의 반입·보관 등으로 기간 이상 보관해야 할 부득이한 사유가 있을 것</w:t>
            </w:r>
          </w:p>
        </w:tc>
      </w:tr>
      <w:tr>
        <w:tc>
          <w:tcPr>
            <w:tcW w:type="dxa" w:w="198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A1A1A"/>
                <w:sz w:val="18"/>
              </w:rPr>
              <w:t>관할 승인</w:t>
            </w:r>
          </w:p>
        </w:tc>
        <w:tc>
          <w:tcPr>
            <w:tcW w:type="dxa" w:w="702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83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color w:val="1A1A1A"/>
                <w:sz w:val="18"/>
              </w:rPr>
              <w:t>시·도지사나 지방환경관서의 장의 승인을 받을 것 (승인받으면 초과 보관 가능)</w:t>
            </w:r>
          </w:p>
        </w:tc>
      </w:tr>
    </w:tbl>
    <w:p>
      <w:pPr>
        <w:spacing w:after="80"/>
      </w:pPr>
    </w:p>
    <w:p>
      <w:pPr>
        <w:pStyle w:val="2"/>
      </w:pPr>
      <w:r>
        <w:rPr>
          <w:rFonts w:ascii="맑은 고딕" w:hAnsi="맑은 고딕" w:eastAsia="맑은 고딕"/>
        </w:rPr>
        <w:t>5. 어기면 어떻게 되나</w:t>
      </w:r>
    </w:p>
    <w:p>
      <w:pPr>
        <w:spacing w:after="120"/>
      </w:pPr>
      <w:r>
        <w:rPr>
          <w:rFonts w:ascii="맑은 고딕" w:hAnsi="맑은 고딕" w:eastAsia="맑은 고딕"/>
          <w:color w:val="333333"/>
          <w:sz w:val="19"/>
        </w:rPr>
        <w:t>보관량이나 보관기간을 초과하는 것은 법 제25조제9항의 준수사항 위반입니다. 이 경우 폐기물관리법에 따른 영업정지 등 행정처분의 대상이 될 수 있고, 처리하지 못하고 쌓인 폐기물은 방치폐기물 조치명령과 처리이행보증(공제·보증보험) 집행 문제로 이어질 수 있습니다. 보관기간은 사실상 '언제까지 처리해야 하는가'라는 처리기한으로 작동합니다.</w:t>
      </w:r>
    </w:p>
    <w:p>
      <w:pPr>
        <w:pStyle w:val="note"/>
      </w:pPr>
      <w:r>
        <w:rPr>
          <w:rFonts w:ascii="맑은 고딕" w:hAnsi="맑은 고딕" w:eastAsia="맑은 고딕"/>
        </w:rPr>
        <w:t>※ 참고: 법 제25조제9항제4호의 '영상정보 60일 보관'은 보관·매립 중인 폐기물을 촬영한 CCTV 영상의 저장 기간으로, 폐기물 자체의 보관기간(위 60일)과는 다른 규정입니다. 혼동하지 마세요.</w:t>
      </w:r>
    </w:p>
    <w:p>
      <w:pPr>
        <w:pStyle w:val="2"/>
      </w:pPr>
      <w:r>
        <w:rPr>
          <w:rFonts w:ascii="맑은 고딕" w:hAnsi="맑은 고딕" w:eastAsia="맑은 고딕"/>
        </w:rPr>
        <w:t>6. 원문 발췌</w:t>
      </w:r>
    </w:p>
    <w:p>
      <w:pPr>
        <w:pStyle w:val="cite1"/>
      </w:pPr>
      <w:r>
        <w:rPr>
          <w:rFonts w:ascii="맑은 고딕" w:hAnsi="맑은 고딕" w:eastAsia="맑은 고딕"/>
        </w:rPr>
        <w:t>폐기물관리법 제25조제9항 (처리업자 준수사항)</w:t>
      </w:r>
    </w:p>
    <w:p>
      <w:pPr>
        <w:spacing w:after="100"/>
      </w:pPr>
      <w:r>
        <w:rPr>
          <w:rFonts w:ascii="맑은 고딕" w:hAnsi="맑은 고딕" w:eastAsia="맑은 고딕"/>
          <w:color w:val="333333"/>
          <w:sz w:val="18"/>
        </w:rPr>
        <w:t>폐기물처리업자는 다음 각 호의 준수사항을 지켜야 한다. 1. 폐기물을 허가받은 사업장 내 보관시설이나 승인받은 임시보관시설 등 적정한 장소에 보관할 것  2. 환경부령으로 정하는 양 또는 기간을 초과하여 폐기물을 보관하지 말 것</w:t>
      </w:r>
    </w:p>
    <w:p>
      <w:pPr>
        <w:pStyle w:val="cite1"/>
      </w:pPr>
      <w:r>
        <w:rPr>
          <w:rFonts w:ascii="맑은 고딕" w:hAnsi="맑은 고딕" w:eastAsia="맑은 고딕"/>
        </w:rPr>
        <w:t>폐기물관리법 시행규칙 제31조제1항제4호 (일반 보관 30일)</w:t>
      </w:r>
    </w:p>
    <w:p>
      <w:pPr>
        <w:spacing w:after="100"/>
      </w:pPr>
      <w:r>
        <w:rPr>
          <w:rFonts w:ascii="맑은 고딕" w:hAnsi="맑은 고딕" w:eastAsia="맑은 고딕"/>
          <w:color w:val="333333"/>
          <w:sz w:val="18"/>
        </w:rPr>
        <w:t>폐기물 재활용업자, 폐기물 중간처분업자 및 폐기물 종합처분업자가 폐기물을 보관(의료폐기물 등은 제외)하는 경우: 1일 처리용량의 30일분 보관량 이하, 30일 이내(매립시설의 일정 구역을 구획하여 폐석면을 매립하기 위한 경우에는 6개월 이내)</w:t>
      </w:r>
    </w:p>
    <w:p>
      <w:pPr>
        <w:pStyle w:val="cite1"/>
      </w:pPr>
      <w:r>
        <w:rPr>
          <w:rFonts w:ascii="맑은 고딕" w:hAnsi="맑은 고딕" w:eastAsia="맑은 고딕"/>
        </w:rPr>
        <w:t>폐기물관리법 시행규칙 제31조제2항 (연장)</w:t>
      </w:r>
    </w:p>
    <w:p>
      <w:pPr>
        <w:spacing w:after="120"/>
      </w:pPr>
      <w:r>
        <w:rPr>
          <w:rFonts w:ascii="맑은 고딕" w:hAnsi="맑은 고딕" w:eastAsia="맑은 고딕"/>
          <w:color w:val="333333"/>
          <w:sz w:val="18"/>
        </w:rPr>
        <w:t>폐기물처리업자는 허가나 승인을 받은 보관량 및 보관기간을 초과하여 폐기물을 보관할 수 없다. 다만, 화재 등 중대한 사고, 방치폐기물의 반입·보관 등으로 그 기간 이상 보관하여야 할 부득이한 사유가 있는 경우로서 시·도지사나 지방환경관서의 장의 승인을 받았을 때에는 그러하지 아니하다.</w:t>
      </w:r>
    </w:p>
    <w:p>
      <w:pPr>
        <w:spacing w:after="20" w:before="80"/>
      </w:pPr>
      <w:r>
        <w:rPr>
          <w:rFonts w:ascii="맑은 고딕" w:hAnsi="맑은 고딕" w:eastAsia="맑은 고딕"/>
          <w:b/>
          <w:color w:val="1F3864"/>
          <w:sz w:val="20"/>
        </w:rPr>
        <w:t>한 줄 요약</w:t>
      </w:r>
    </w:p>
    <w:p>
      <w:pPr>
        <w:spacing w:after="120"/>
      </w:pPr>
      <w:r>
        <w:rPr>
          <w:rFonts w:ascii="맑은 고딕" w:hAnsi="맑은 고딕" w:eastAsia="맑은 고딕"/>
          <w:color w:val="333333"/>
          <w:sz w:val="19"/>
        </w:rPr>
        <w:t>처리업자 보관은 30일이 원칙, 재활용 특정 품목은 60일, 수입·이차전지·태양광 등은 180일, 의료·수집운반은 며칠 단위입니다. 보관량은 1일 처리·재활용용량의 그 일수분 이하이며, 초과하려면 화재 등 부득이한 사유로 관할의 승인을 받아야 합니다.</w:t>
      </w:r>
    </w:p>
    <w:p>
      <w:pPr>
        <w:pStyle w:val="src"/>
      </w:pPr>
      <w:r>
        <w:rPr>
          <w:rFonts w:ascii="맑은 고딕" w:hAnsi="맑은 고딕" w:eastAsia="맑은 고딕"/>
        </w:rPr>
        <w:t>기준 법령: 폐기물관리법·같은 법 시행규칙 (국가법령정보센터, 시행규칙 2026.6.22 기준).</w:t>
      </w:r>
    </w:p>
    <w:p>
      <w:pPr>
        <w:pStyle w:val="mark"/>
      </w:pPr>
      <w:r>
        <w:rPr>
          <w:rFonts w:ascii="맑은 고딕" w:hAnsi="맑은 고딕" w:eastAsia="맑은 고딕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