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80"/>
      </w:pPr>
      <w:r>
        <w:rPr>
          <w:rFonts w:ascii="맑은 고딕" w:hAnsi="맑은 고딕" w:eastAsia="맑은 고딕" w:cs="맑은 고딕"/>
          <w:b/>
          <w:color w:val="000000"/>
          <w:sz w:val="32"/>
        </w:rPr>
        <w:t>시설별 5대 배출·처리시설 해당 여부 매트릭스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대기 · 폐수 · 폐기물 · 악취 · 소음·진동</w:t>
      </w:r>
    </w:p>
    <w:p>
      <w:pPr>
        <w:spacing w:after="120"/>
      </w:pPr>
      <w:r>
        <w:rPr>
          <w:rFonts w:ascii="맑은 고딕" w:hAnsi="맑은 고딕" w:eastAsia="맑은 고딕" w:cs="맑은 고딕"/>
          <w:color w:val="000000"/>
        </w:rPr>
        <w:t>사업장의 시설이 대기·폐수·폐기물·악취·소음진동 관련 법상 배출시설(또는 처리시설)에 해당하는지 한눈에 보기 위한 표입니다. ○는 해당 법의 배출·처리시설 목록에 규정되어 있음을 뜻합니다.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pct" w:w="2300"/>
            <w:shd w:val="clear" w:color="auto" w:fill="D9D9D9"/>
            <w:tcBorders>
              <w:bottom w:val="double" w:sz="6" w:space="0" w:color="808080"/>
            </w:tcBorders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시설</w:t>
            </w:r>
          </w:p>
        </w:tc>
        <w:tc>
          <w:tcPr>
            <w:tcW w:type="pct" w:w="540"/>
            <w:shd w:val="clear" w:color="auto" w:fill="D9D9D9"/>
            <w:tcBorders>
              <w:bottom w:val="double" w:sz="6" w:space="0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대기</w:t>
            </w:r>
          </w:p>
        </w:tc>
        <w:tc>
          <w:tcPr>
            <w:tcW w:type="pct" w:w="540"/>
            <w:shd w:val="clear" w:color="auto" w:fill="D9D9D9"/>
            <w:tcBorders>
              <w:bottom w:val="double" w:sz="6" w:space="0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폐수</w:t>
            </w:r>
          </w:p>
        </w:tc>
        <w:tc>
          <w:tcPr>
            <w:tcW w:type="pct" w:w="540"/>
            <w:shd w:val="clear" w:color="auto" w:fill="D9D9D9"/>
            <w:tcBorders>
              <w:bottom w:val="double" w:sz="6" w:space="0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폐기물</w:t>
            </w:r>
          </w:p>
        </w:tc>
        <w:tc>
          <w:tcPr>
            <w:tcW w:type="pct" w:w="540"/>
            <w:shd w:val="clear" w:color="auto" w:fill="D9D9D9"/>
            <w:tcBorders>
              <w:bottom w:val="double" w:sz="6" w:space="0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악취</w:t>
            </w:r>
          </w:p>
        </w:tc>
        <w:tc>
          <w:tcPr>
            <w:tcW w:type="pct" w:w="540"/>
            <w:shd w:val="clear" w:color="auto" w:fill="D9D9D9"/>
            <w:tcBorders>
              <w:bottom w:val="double" w:sz="6" w:space="0" w:color="80808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소음·진동</w:t>
            </w:r>
          </w:p>
        </w:tc>
      </w:tr>
      <w:tr>
        <w:tc>
          <w:tcPr>
            <w:tcW w:type="dxa" w:w="9024"/>
            <w:gridSpan w:val="6"/>
            <w:shd w:val="clear" w:color="auto" w:fill="BFBFBF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가. 제조 업종별 배출시설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가죽·모피 가공 및 제품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고무 및 고무제품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곡물·전분·당류 등 식품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금속가공제품·기계·장비·가구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기초무기화합물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기초유기화합물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담배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도축·육류·수산물 가공 및 저장시설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동·식물성 유지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동물용 사료 및 조제식품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반도체·전자부품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발전시설(화력)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방적·가공사 및 섬유제품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비금속광물제품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비료 및 질소화합물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석유 정제품 제조시설 및 관련제품 저장시설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섬유염색 및 가공시설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신발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의료용 물질 및 의약품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인쇄 및 기록매체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1차 비철금속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1차 철강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자동차·운송장비 부품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축산시설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코크스 제조시설 및 관련제품 저장시설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펄프·종이 및 판지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플라스틱·합성수지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화장품·비누·세제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화학섬유 제조시설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화학제품 제조시설(농약·페인트·잉크 등)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024"/>
            <w:gridSpan w:val="6"/>
            <w:shd w:val="clear" w:color="auto" w:fill="BFBFBF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나. 처리·공정 설비별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건조·탈수시설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고형화·고화·안정화시설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골재가공시설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도금시설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도장(도료 도장)시설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도정시설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매립시설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반응시설(중화·산화·환원 등)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분쇄·파쇄시설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선별시설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성형·압출·주조시설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세정·응축시설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세척·세차시설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세탁시설(산업용)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소각시설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소성·탄화시설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압축시설(압축기)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용융·용해시설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응집·침전시설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유기화합물·산 저장시설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절단시설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정제시설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제재·목재가공시설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증발·농축시설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열분해·가스화시설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탈사시설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폐기물 재활용(원료재생)시설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폐수처리시설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혼합시설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화장로(동물장묘 포함)시설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9024"/>
            <w:gridSpan w:val="6"/>
            <w:shd w:val="clear" w:color="auto" w:fill="BFBFBF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다. 동력 기계(소음·진동 전용)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금속절단기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단조기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변속기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송풍기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시멘트벽돌·블록 제조기계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연탄제조용 윤전기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원심분리기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  <w:tr>
        <w:tc>
          <w:tcPr>
            <w:tcW w:type="pct" w:w="23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프레스</w:t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</w:r>
          </w:p>
        </w:tc>
        <w:tc>
          <w:tcPr>
            <w:tcW w:type="pct" w:w="540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○</w:t>
            </w:r>
          </w:p>
        </w:tc>
      </w:tr>
    </w:tbl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○ = 해당 법령 별표의 배출시설(대기·폐수·악취·소음진동) 또는 처리시설(폐기물) 목록에 규정된 경우. 공란은 미해당.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‘폐기물’ 열은 폐기물관리법 시행령 [별표 3] 폐기물처리시설의 종류(소각·매립·재활용 등)에 해당하는지 기준입니다(폐기물 배출 여부가 아님).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같은 시설도 동력·용적·규모 등 세부 요건과 제외조건을 충족해야 실제 대상이 되므로, 최종 판단은 각 법 별표 원문을 확인해야 합니다.</w:t>
      </w:r>
    </w:p>
    <w:p>
      <w:pPr>
        <w:pStyle w:val="note"/>
      </w:pPr>
      <w:r>
        <w:rPr>
          <w:rFonts w:ascii="맑은 고딕" w:hAnsi="맑은 고딕" w:eastAsia="맑은 고딕" w:cs="맑은 고딕"/>
          <w:color w:val="000000"/>
        </w:rPr>
        <w:t>※ 근거 : 대기환경보전법 시행규칙 [별표 3] · 물환경보전법 시행규칙 [별표 4] · 폐기물관리법 시행령 [별표 3] · 악취방지법 시행규칙 [별표 2] · 소음ㆍ진동관리법 시행규칙 [별표 1].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