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40"/>
      </w:pPr>
      <w:r>
        <w:rPr>
          <w:rFonts w:ascii="맑은 고딕" w:hAnsi="맑은 고딕" w:eastAsia="맑은 고딕"/>
          <w:b/>
          <w:color w:val="1F3864"/>
          <w:sz w:val="32"/>
        </w:rPr>
        <w:t>폐기물 처리업자의 보관량·보관기간 총정리</w:t>
      </w:r>
    </w:p>
    <w:p>
      <w:pPr>
        <w:pStyle w:val="law1"/>
      </w:pPr>
      <w:r>
        <w:rPr>
          <w:rFonts w:ascii="맑은 고딕" w:hAnsi="맑은 고딕" w:eastAsia="맑은 고딕"/>
        </w:rPr>
        <w:t>무엇을 근거로 30일이 되고, 무엇을 근거로 60일이 되는가</w:t>
      </w:r>
    </w:p>
    <w:p>
      <w:pPr>
        <w:spacing w:after="160"/>
      </w:pPr>
      <w:r>
        <w:rPr>
          <w:rFonts w:ascii="맑은 고딕" w:hAnsi="맑은 고딕" w:eastAsia="맑은 고딕"/>
          <w:color w:val="333333"/>
          <w:sz w:val="20"/>
        </w:rPr>
        <w:t>폐기물처리업자의 보관량과 보관기간은 폐기물관리법 제25조제9항이 정한 준수사항이고, 그 구체적인 양과 기간은 같은 법 시행규칙 제31조제1항이 호와 목으로 나누어 정합니다. 아래 표의 근거란은 모두 이 시행규칙 제31조제1항 안의 위치입니다. 일부 항목은 자원의 절약과 재활용촉진에 관한 법률(재활용법)을 함께 봅니다.</w:t>
      </w:r>
    </w:p>
    <w:p>
      <w:pPr>
        <w:pStyle w:val="2"/>
      </w:pPr>
      <w:r>
        <w:rPr>
          <w:rFonts w:ascii="맑은 고딕" w:hAnsi="맑은 고딕" w:eastAsia="맑은 고딕"/>
        </w:rPr>
        <w:t>1. 상위 근거 (법 제25조제9항)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980"/>
        <w:gridCol w:w="4680"/>
        <w:gridCol w:w="2340"/>
      </w:tblGrid>
      <w:tr>
        <w:tc>
          <w:tcPr>
            <w:tcW w:type="dxa" w:w="19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준수사항</w:t>
            </w:r>
          </w:p>
        </w:tc>
        <w:tc>
          <w:tcPr>
            <w:tcW w:type="dxa" w:w="46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3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 장소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허가받은 사업장 내 보관시설이나 승인받은 임시보관시설 등 적정한 장소에 보관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법 제25조제9항제1호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보관량·보관기간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환경부령으로 정하는 양 또는 기간을 초과하여 보관하지 말 것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법 제25조제9항제2호</w:t>
            </w:r>
          </w:p>
        </w:tc>
      </w:tr>
      <w:tr>
        <w:tc>
          <w:tcPr>
            <w:tcW w:type="dxa" w:w="198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→ 위임</w:t>
            </w:r>
          </w:p>
        </w:tc>
        <w:tc>
          <w:tcPr>
            <w:tcW w:type="dxa" w:w="46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보관량·보관기간의 구체적 기준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제31조제1항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2. 업종·유형별 보관량과 보관기간</w:t>
      </w:r>
    </w:p>
    <w:p>
      <w:pPr>
        <w:spacing w:after="80"/>
      </w:pPr>
      <w:r>
        <w:rPr>
          <w:rFonts w:ascii="맑은 고딕" w:hAnsi="맑은 고딕" w:eastAsia="맑은 고딕"/>
          <w:color w:val="777777"/>
          <w:sz w:val="18"/>
        </w:rPr>
        <w:t>근거란은 모두 '시행규칙 제31조제1항'의 호·목 위치입니다.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3240"/>
        <w:gridCol w:w="2340"/>
        <w:gridCol w:w="1800"/>
        <w:gridCol w:w="1620"/>
      </w:tblGrid>
      <w:tr>
        <w:tc>
          <w:tcPr>
            <w:tcW w:type="dxa" w:w="32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업종 · 유형</w:t>
            </w:r>
          </w:p>
        </w:tc>
        <w:tc>
          <w:tcPr>
            <w:tcW w:type="dxa" w:w="23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보관량</w:t>
            </w:r>
          </w:p>
        </w:tc>
        <w:tc>
          <w:tcPr>
            <w:tcW w:type="dxa" w:w="18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보관기간</w:t>
            </w:r>
          </w:p>
        </w:tc>
        <w:tc>
          <w:tcPr>
            <w:tcW w:type="dxa" w:w="162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근거(제31조제1항)</w:t>
            </w:r>
          </w:p>
        </w:tc>
      </w:tr>
      <w:tr>
        <w:tc>
          <w:tcPr>
            <w:tcW w:type="dxa" w:w="32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수집운반업 임시보관 (의료폐기물)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냉장 4도 이하 전용시설 기준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이내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(그 밖·격리 2일)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제1호 가목</w:t>
            </w:r>
          </w:p>
        </w:tc>
      </w:tr>
      <w:tr>
        <w:tc>
          <w:tcPr>
            <w:tcW w:type="dxa" w:w="32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수집운반업 임시보관 (의료 외)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450톤·용적 300㎥ 이하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이내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제1호 나목</w:t>
            </w:r>
          </w:p>
        </w:tc>
      </w:tr>
      <w:tr>
        <w:tc>
          <w:tcPr>
            <w:tcW w:type="dxa" w:w="32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재활용업 승인 임시보관 (폐전주)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3~11월 50톤 / 12~2월 100톤 미만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승인 조건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가목</w:t>
            </w:r>
          </w:p>
        </w:tc>
      </w:tr>
      <w:tr>
        <w:tc>
          <w:tcPr>
            <w:tcW w:type="dxa" w:w="32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재활용업 승인 임시보관 (동물성 잔재물)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150톤 미만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이내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나목</w:t>
            </w:r>
          </w:p>
        </w:tc>
      </w:tr>
      <w:tr>
        <w:tc>
          <w:tcPr>
            <w:tcW w:type="dxa" w:w="32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재활용업 승인 임시보관 (수액팩·수액병)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5톤 미만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이내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제2호 다목</w:t>
            </w:r>
          </w:p>
        </w:tc>
      </w:tr>
      <w:tr>
        <w:tc>
          <w:tcPr>
            <w:tcW w:type="dxa" w:w="3240"/>
            <w:vAlign w:val="center"/>
            <w:shd w:val="clear" w:color="auto" w:fill="E0E0E0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(특정 무기성 계열)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60일분 이하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60일 이내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제3호 가목</w:t>
            </w:r>
          </w:p>
        </w:tc>
      </w:tr>
      <w:tr>
        <w:tc>
          <w:tcPr>
            <w:tcW w:type="dxa" w:w="3240"/>
            <w:vAlign w:val="center"/>
            <w:shd w:val="clear" w:color="auto" w:fill="ECECEC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 (수입·이차전지·태양광 등)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180일분 이하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180일 이내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제3호 나목</w:t>
            </w:r>
          </w:p>
        </w:tc>
      </w:tr>
      <w:tr>
        <w:tc>
          <w:tcPr>
            <w:tcW w:type="dxa" w:w="3240"/>
            <w:vAlign w:val="center"/>
            <w:shd w:val="clear" w:color="auto" w:fill="D2D2D2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일반 보관 (재활용·중간처분·종합처분)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처리용량의 30일분 이하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30일 이내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(폐석면 매립 구획 6개월)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제4호</w:t>
            </w:r>
          </w:p>
        </w:tc>
      </w:tr>
      <w:tr>
        <w:tc>
          <w:tcPr>
            <w:tcW w:type="dxa" w:w="32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재활용업의 태반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임시보관 5톤 미만 / 그 밖 7일분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또는 7일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제5호</w:t>
            </w:r>
          </w:p>
        </w:tc>
      </w:tr>
      <w:tr>
        <w:tc>
          <w:tcPr>
            <w:tcW w:type="dxa" w:w="32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재활용가능자원 비축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재활용법에 따른 고시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고시로 정함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제5호의2</w:t>
            </w:r>
          </w:p>
        </w:tc>
      </w:tr>
      <w:tr>
        <w:tc>
          <w:tcPr>
            <w:tcW w:type="dxa" w:w="32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중간처분업의 의료폐기물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처분용량의 5일분 이하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이내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(격리·조직물류 2일)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제6호</w:t>
            </w:r>
          </w:p>
        </w:tc>
      </w:tr>
      <w:tr>
        <w:tc>
          <w:tcPr>
            <w:tcW w:type="dxa" w:w="32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감염병 재난 시 의료폐기물</w:t>
            </w:r>
          </w:p>
        </w:tc>
        <w:tc>
          <w:tcPr>
            <w:tcW w:type="dxa" w:w="234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-</w:t>
            </w:r>
          </w:p>
        </w:tc>
        <w:tc>
          <w:tcPr>
            <w:tcW w:type="dxa" w:w="18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장관이 처리기한 별도 지정</w:t>
            </w:r>
          </w:p>
        </w:tc>
        <w:tc>
          <w:tcPr>
            <w:tcW w:type="dxa" w:w="162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제7호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3. 30일·60일·180일이 갈리는 근거 (재활용 보관)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080"/>
        <w:gridCol w:w="5760"/>
        <w:gridCol w:w="2160"/>
      </w:tblGrid>
      <w:tr>
        <w:tc>
          <w:tcPr>
            <w:tcW w:type="dxa" w:w="10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보관기간</w:t>
            </w:r>
          </w:p>
        </w:tc>
        <w:tc>
          <w:tcPr>
            <w:tcW w:type="dxa" w:w="57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해당 폐기물</w:t>
            </w:r>
          </w:p>
        </w:tc>
        <w:tc>
          <w:tcPr>
            <w:tcW w:type="dxa" w:w="21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1080"/>
            <w:vAlign w:val="center"/>
            <w:shd w:val="clear" w:color="auto" w:fill="D2D2D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30일</w:t>
            </w:r>
          </w:p>
        </w:tc>
        <w:tc>
          <w:tcPr>
            <w:tcW w:type="dxa" w:w="57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재활용·중간처분·종합처분업자의 일반 보관 (60·180일 대상이 아닌 폐기물). 1일 처리용량의 30일분 이하. 매립시설 구획 폐석면 매립은 6개월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제31조제1항제4호</w:t>
            </w:r>
          </w:p>
        </w:tc>
      </w:tr>
      <w:tr>
        <w:tc>
          <w:tcPr>
            <w:tcW w:type="dxa" w:w="1080"/>
            <w:vAlign w:val="center"/>
            <w:shd w:val="clear" w:color="auto" w:fill="E0E0E0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60일</w:t>
            </w:r>
          </w:p>
        </w:tc>
        <w:tc>
          <w:tcPr>
            <w:tcW w:type="dxa" w:w="57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재활용 목적으로 보관하는 폐석고·폐고무·광재·폐내화물·폐도자기조각·폐합성수지·폐금속류·폐지·폐유리·폐콘크리트전주·폐석재·폐레미콘, 그리고 시멘트·콘크리트·석제품 제조 등 특정 시설의 무기성 오니. 1일 재활용량의 60일분 이하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제31조제1항제3호 가목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(1) 품목, (2) 무기성 오니)</w:t>
            </w:r>
          </w:p>
        </w:tc>
      </w:tr>
      <w:tr>
        <w:tc>
          <w:tcPr>
            <w:tcW w:type="dxa" w:w="1080"/>
            <w:vAlign w:val="center"/>
            <w:shd w:val="clear" w:color="auto" w:fill="ECECEC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180일</w:t>
            </w:r>
          </w:p>
        </w:tc>
        <w:tc>
          <w:tcPr>
            <w:tcW w:type="dxa" w:w="57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폐목재·폐촉매·폐김발장·석탄재·리튬이차전지(제조 부산물)·전기자동차 폐이차전지·태양광 폐패널·특정 수입폐기물. 1일 재활용량의 180일분 이하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제31조제1항제3호 나목</w:t>
            </w:r>
          </w:p>
        </w:tc>
      </w:tr>
    </w:tbl>
    <w:p>
      <w:pPr>
        <w:spacing w:after="100"/>
      </w:pPr>
    </w:p>
    <w:p>
      <w:pPr>
        <w:spacing w:after="160" w:before="40"/>
      </w:pPr>
      <w:r>
        <w:rPr>
          <w:rFonts w:ascii="맑은 고딕" w:hAnsi="맑은 고딕" w:eastAsia="맑은 고딕"/>
          <w:color w:val="333333"/>
          <w:sz w:val="19"/>
        </w:rPr>
        <w:t>핵심은 '제4호(일반, 30일)'와 '제3호 가목(특정 재활용, 60일)'의 갈림입니다. 재활용을 위해 보관하는 무기성 계열 지정 품목이면 제3호 가목이 적용되어 60일, 그 밖의 일반 보관이면 제4호가 적용되어 30일입니다.</w:t>
      </w:r>
    </w:p>
    <w:p>
      <w:pPr>
        <w:pStyle w:val="2"/>
      </w:pPr>
      <w:r>
        <w:rPr>
          <w:rFonts w:ascii="맑은 고딕" w:hAnsi="맑은 고딕" w:eastAsia="맑은 고딕"/>
        </w:rPr>
        <w:t>4. 자원의 절약과 재활용촉진에 관한 법률(재활용법)이 들어오는 지점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2160"/>
        <w:gridCol w:w="4860"/>
        <w:gridCol w:w="1980"/>
      </w:tblGrid>
      <w:tr>
        <w:tc>
          <w:tcPr>
            <w:tcW w:type="dxa" w:w="21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지점</w:t>
            </w:r>
          </w:p>
        </w:tc>
        <w:tc>
          <w:tcPr>
            <w:tcW w:type="dxa" w:w="48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198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21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60일 목록의 폐합성수지 제외</w:t>
            </w:r>
          </w:p>
        </w:tc>
        <w:tc>
          <w:tcPr>
            <w:tcW w:type="dxa" w:w="48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제3호 가목1)의 폐합성수지 중 재활용법 시행령 제18조제1호·제3호·제8호부터 제10호까지에 해당하는 것은 60일 대상에서 제외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제31조제1항제3호 가목1)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+ 재활용법 시행령 제18조</w:t>
            </w:r>
          </w:p>
        </w:tc>
      </w:tr>
      <w:tr>
        <w:tc>
          <w:tcPr>
            <w:tcW w:type="dxa" w:w="21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재활용가능자원 비축</w:t>
            </w:r>
          </w:p>
        </w:tc>
        <w:tc>
          <w:tcPr>
            <w:tcW w:type="dxa" w:w="48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재활용업자가 비축시설에 재활용가능자원을 비축하는 경우의 양·기간은 재활용법에 따른 장관 고시로 정함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제31조제1항제5호의2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+ 재활용법 제34조의5제5항</w:t>
            </w:r>
          </w:p>
        </w:tc>
      </w:tr>
      <w:tr>
        <w:tc>
          <w:tcPr>
            <w:tcW w:type="dxa" w:w="216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임시보관시설의 근거</w:t>
            </w:r>
          </w:p>
        </w:tc>
        <w:tc>
          <w:tcPr>
            <w:tcW w:type="dxa" w:w="48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위 임시보관·비축시설의 설치·승인 자체는 시행규칙 제11조에 따름</w:t>
            </w:r>
          </w:p>
        </w:tc>
        <w:tc>
          <w:tcPr>
            <w:tcW w:type="dxa" w:w="198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제11조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5. 보관량·기간의 연장 (초과 보관)</w:t>
      </w:r>
    </w:p>
    <w:tbl>
      <w:tblPr>
        <w:tblW w:w="5000" w:type="pct"/>
        <w:tblCellMar>
          <w:top w:w="50" w:type="dxa"/>
          <w:left w:w="100" w:type="dxa"/>
          <w:bottom w:w="50" w:type="dxa"/>
          <w:right w:w="100" w:type="dxa"/>
        </w:tblCellMar>
        <w:tblBorders>
          <w:top w:val="single" w:sz="22" w:space="0" w:color="000000"/>
          <w:left w:val="single" w:sz="22" w:space="0" w:color="000000"/>
          <w:bottom w:val="single" w:sz="22" w:space="0" w:color="000000"/>
          <w:right w:val="single" w:sz="22" w:space="0" w:color="000000"/>
          <w:insideH w:val="single" w:sz="4" w:space="0" w:color="B7B7B7"/>
          <w:insideV w:val="single" w:sz="4" w:space="0" w:color="B7B7B7"/>
        </w:tblBorders>
        <w:tblLook w:val="04A0" w:firstRow="1" w:lastRow="0" w:firstColumn="0" w:lastColumn="0" w:noHBand="0" w:noVBand="1"/>
      </w:tblPr>
      <w:tblGrid>
        <w:gridCol w:w="1440"/>
        <w:gridCol w:w="5400"/>
        <w:gridCol w:w="2160"/>
      </w:tblGrid>
      <w:tr>
        <w:tc>
          <w:tcPr>
            <w:tcW w:type="dxa" w:w="144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540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160"/>
            <w:vAlign w:val="center"/>
            <w:shd w:val="clear" w:color="auto" w:fill="D9D9D9"/>
            <w:tcBorders>
              <w:bottom w:val="double" w:sz="6" w:space="0" w:color="000000"/>
            </w:tcBorders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14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원칙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허가·승인받은 보관량 및 보관기간을 초과하여 보관할 수 없음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제31조제2항 본문</w:t>
            </w:r>
          </w:p>
        </w:tc>
      </w:tr>
      <w:tr>
        <w:tc>
          <w:tcPr>
            <w:tcW w:type="dxa" w:w="1440"/>
            <w:vAlign w:val="center"/>
            <w:shd w:val="clear" w:color="auto" w:fill="F2F2F2"/>
          </w:tcPr>
          <w:p>
            <w:pPr>
              <w:spacing w:before="30" w:after="30" w:line="278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예외</w:t>
            </w:r>
          </w:p>
        </w:tc>
        <w:tc>
          <w:tcPr>
            <w:tcW w:type="dxa" w:w="540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화재 등 중대한 사고, 방치폐기물 반입·보관 등 부득이한 사유가 있고 시·도지사나 지방환경관서의 장의 승인을 받으면 초과 보관 가능</w:t>
            </w:r>
          </w:p>
        </w:tc>
        <w:tc>
          <w:tcPr>
            <w:tcW w:type="dxa" w:w="2160"/>
            <w:vAlign w:val="center"/>
          </w:tcPr>
          <w:p>
            <w:pPr>
              <w:spacing w:before="30" w:after="30" w:line="278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시행규칙 제31조제2항 단서</w:t>
            </w:r>
          </w:p>
        </w:tc>
      </w:tr>
    </w:tbl>
    <w:p>
      <w:pPr>
        <w:spacing w:after="100"/>
      </w:pPr>
    </w:p>
    <w:p>
      <w:pPr>
        <w:pStyle w:val="2"/>
      </w:pPr>
      <w:r>
        <w:rPr>
          <w:rFonts w:ascii="맑은 고딕" w:hAnsi="맑은 고딕" w:eastAsia="맑은 고딕"/>
        </w:rPr>
        <w:t>6. 어기면 어떻게 되나</w:t>
      </w:r>
    </w:p>
    <w:p>
      <w:pPr>
        <w:spacing w:after="80"/>
      </w:pPr>
      <w:r>
        <w:rPr>
          <w:rFonts w:ascii="맑은 고딕" w:hAnsi="맑은 고딕" w:eastAsia="맑은 고딕"/>
          <w:color w:val="333333"/>
          <w:sz w:val="19"/>
        </w:rPr>
        <w:t>보관량이나 보관기간을 넘기는 것은 법 제25조제9항의 준수사항 위반이므로 폐기물관리법에 따른 영업정지 등 행정처분의 대상이 될 수 있고, 처리하지 못하고 쌓인 폐기물은 방치폐기물 조치명령과 처리이행보증 집행 문제로 이어질 수 있습니다. 보관기간은 사실상 '언제까지 처리해야 하는가'라는 처리기한으로 작동합니다.</w:t>
      </w:r>
    </w:p>
    <w:p>
      <w:pPr>
        <w:pStyle w:val="note"/>
      </w:pPr>
      <w:r>
        <w:rPr>
          <w:rFonts w:ascii="맑은 고딕" w:hAnsi="맑은 고딕" w:eastAsia="맑은 고딕"/>
        </w:rPr>
        <w:t>※ 법 제25조제9항제4호의 '영상정보 60일 보관'은 보관·매립 폐기물을 촬영한 CCTV 영상의 저장 기간으로, 폐기물 자체의 보관기간(위 60일)과 다른 규정입니다. 혼동하지 마세요.</w:t>
      </w:r>
    </w:p>
    <w:p>
      <w:pPr>
        <w:pStyle w:val="2"/>
      </w:pPr>
      <w:r>
        <w:rPr>
          <w:rFonts w:ascii="맑은 고딕" w:hAnsi="맑은 고딕" w:eastAsia="맑은 고딕"/>
        </w:rPr>
        <w:t>7. 원문 발췌</w:t>
      </w:r>
    </w:p>
    <w:p>
      <w:pPr>
        <w:pStyle w:val="cite1"/>
      </w:pPr>
      <w:r>
        <w:rPr>
          <w:rFonts w:ascii="맑은 고딕" w:hAnsi="맑은 고딕" w:eastAsia="맑은 고딕"/>
        </w:rPr>
        <w:t>시행규칙 제31조제1항제4호 (일반 보관, 30일)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폐기물 재활용업자, 폐기물 중간처분업자 및 폐기물 종합처분업자가 폐기물을 보관(의료폐기물 또는 제2호·제3호·제5호의2에 따라 보관하는 경우는 제외)하는 경우: 1일 처리용량의 30일분 보관량 이하, 30일 이내(매립시설의 일정 구역을 구획하여 폐석면을 매립하기 위한 경우에는 6개월 이내)</w:t>
      </w:r>
    </w:p>
    <w:p>
      <w:pPr>
        <w:pStyle w:val="cite1"/>
      </w:pPr>
      <w:r>
        <w:rPr>
          <w:rFonts w:ascii="맑은 고딕" w:hAnsi="맑은 고딕" w:eastAsia="맑은 고딕"/>
        </w:rPr>
        <w:t>시행규칙 제31조제1항제3호 가목 (재활용, 60일)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다음의 어느 하나에 해당하는 폐기물: 1일 재활용량의 60일분 보관량 이하, 60일 이내. 1) 폐석고(도자기 제조시설에서 발생하는 것으로 한정)·폐고무·광재·폐내화물·폐도자기조각·폐합성수지(재활용법 시행령 제18조제1호·제3호·제8~10호에 해당하는 것은 제외)·폐금속류·폐지·폐유리·폐콘크리트전주·폐석재·폐레미콘  2) 토기·자기·내화물·시멘트·콘크리트·석제품 제조·가공시설, 세륜시설, 정수시설, 비금속광물 분쇄시설, 토사세척시설에서 발생되는 무기성 오니</w:t>
      </w:r>
    </w:p>
    <w:p>
      <w:pPr>
        <w:pStyle w:val="cite1"/>
      </w:pPr>
      <w:r>
        <w:rPr>
          <w:rFonts w:ascii="맑은 고딕" w:hAnsi="맑은 고딕" w:eastAsia="맑은 고딕"/>
        </w:rPr>
        <w:t>시행규칙 제31조제2항 (초과 금지와 연장)</w:t>
      </w:r>
    </w:p>
    <w:p>
      <w:pPr>
        <w:spacing w:after="120"/>
      </w:pPr>
      <w:r>
        <w:rPr>
          <w:rFonts w:ascii="맑은 고딕" w:hAnsi="맑은 고딕" w:eastAsia="맑은 고딕"/>
          <w:color w:val="333333"/>
          <w:sz w:val="18"/>
        </w:rPr>
        <w:t>폐기물처리업자는 허가나 승인을 받은 보관량 및 보관기간을 초과하여 폐기물을 보관할 수 없다. 다만, 화재 등 중대한 사고, 방치폐기물의 반입·보관 등으로 그 기간 이상 보관하여야 할 부득이한 사유가 있는 경우로서 시·도지사나 지방환경관서의 장의 승인을 받았을 때에는 그러하지 아니하다.</w:t>
      </w:r>
    </w:p>
    <w:p>
      <w:pPr>
        <w:spacing w:after="20" w:before="80"/>
      </w:pPr>
      <w:r>
        <w:rPr>
          <w:rFonts w:ascii="맑은 고딕" w:hAnsi="맑은 고딕" w:eastAsia="맑은 고딕"/>
          <w:b/>
          <w:color w:val="1F3864"/>
          <w:sz w:val="20"/>
        </w:rPr>
        <w:t>한 줄 요약</w:t>
      </w:r>
    </w:p>
    <w:p>
      <w:pPr>
        <w:spacing w:after="120"/>
      </w:pPr>
      <w:r>
        <w:rPr>
          <w:rFonts w:ascii="맑은 고딕" w:hAnsi="맑은 고딕" w:eastAsia="맑은 고딕"/>
          <w:color w:val="333333"/>
          <w:sz w:val="19"/>
        </w:rPr>
        <w:t>30일은 제31조제1항제4호(일반 보관), 60일은 제3호 가목(특정 재활용), 180일은 제3호 나목입니다. 상위 근거는 법 제25조제9항이고, 폐합성수지 제외와 비축은 재활용법을 함께 봅니다. 초과하려면 제31조제2항 단서에 따라 관할의 승인이 필요합니다.</w:t>
      </w:r>
    </w:p>
    <w:p>
      <w:pPr>
        <w:pStyle w:val="src"/>
      </w:pPr>
      <w:r>
        <w:rPr>
          <w:rFonts w:ascii="맑은 고딕" w:hAnsi="맑은 고딕" w:eastAsia="맑은 고딕"/>
        </w:rPr>
        <w:t>기준 법령: 폐기물관리법·같은 법 시행규칙, 자원의 절약과 재활용촉진에 관한 법률 (국가법령정보센터, 시행규칙 2026.6.22 기준).</w:t>
      </w:r>
    </w:p>
    <w:p>
      <w:pPr>
        <w:pStyle w:val="mark"/>
      </w:pPr>
      <w:r>
        <w:rPr>
          <w:rFonts w:ascii="맑은 고딕" w:hAnsi="맑은 고딕" w:eastAsia="맑은 고딕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