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60"/>
      </w:pPr>
      <w:r>
        <w:rPr>
          <w:rFonts w:ascii="맑은 고딕" w:hAnsi="맑은 고딕" w:eastAsia="맑은 고딕" w:cs="맑은 고딕"/>
          <w:b/>
          <w:color w:val="000000"/>
          <w:sz w:val="32"/>
        </w:rPr>
        <w:t>성토재(R-7-1) 재활용도 토양오염우려기준을 지켜야 합니다</w:t>
      </w:r>
    </w:p>
    <w:p>
      <w:pPr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2023두31454 (2025. 4. 3. 선고) · 조치명령취소</w:t>
      </w:r>
    </w:p>
    <w:p>
      <w:pPr>
        <w:spacing w:after="120"/>
      </w:pPr>
      <w:r>
        <w:rPr>
          <w:rFonts w:ascii="맑은 고딕" w:hAnsi="맑은 고딕" w:eastAsia="맑은 고딕" w:cs="맑은 고딕"/>
          <w:color w:val="000000"/>
        </w:rPr>
        <w:t>폐기물을 인·허가받은 건축·토목공사현장의 성토재로 재활용하는 방식(R-7-1)에서, 재활용 기준([별표 5의3])은 충족했더라도 토양오염우려기준을 초과하면 폐기물관리법 위반인지가 문제된 사건입니다. 대법원은 성토재 재활용에도 준수사항([별표 5의4])의 토양오염우려기준이 적용된다고 보았습니다.</w:t>
      </w:r>
    </w:p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1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9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2023두31454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선고일·법원</w:t>
            </w:r>
          </w:p>
        </w:tc>
        <w:tc>
          <w:tcPr>
            <w:tcW w:type="pct" w:w="39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2025. 4. 3. · 대법원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9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일반행정 (조치명령취소)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9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원고 = 폐기물 종합재활용업자 / 피고 = 울주군수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9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부산고법(울산) 2021누10503 (2022. 12. 7.) — 원고 승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9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원심 파기환송 (원고 패소 취지)</w:t>
            </w:r>
          </w:p>
        </w:tc>
      </w:tr>
    </w:tbl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r>
        <w:rPr>
          <w:rFonts w:ascii="맑은 고딕" w:hAnsi="맑은 고딕" w:eastAsia="맑은 고딕" w:cs="맑은 고딕"/>
          <w:color w:val="000000"/>
        </w:rPr>
        <w:t>(1) 원고가 광재류 등 폐기물을 재활용하여 건축·토목공사현장에 성토재로 반입하였습니다(R-7-1 유형).</w:t>
      </w:r>
    </w:p>
    <w:p>
      <w:r>
        <w:rPr>
          <w:rFonts w:ascii="맑은 고딕" w:hAnsi="맑은 고딕" w:eastAsia="맑은 고딕" w:cs="맑은 고딕"/>
          <w:color w:val="000000"/>
        </w:rPr>
        <w:t>(2) 군수가 성토재 시료를 채취해 토양오염 공정시험을 한 결과, 임야(2지역) 토양오염우려기준을 초과하는 카드뮴·아연·불소가 검출되었습니다.</w:t>
      </w:r>
    </w:p>
    <w:p>
      <w:r>
        <w:rPr>
          <w:rFonts w:ascii="맑은 고딕" w:hAnsi="맑은 고딕" w:eastAsia="맑은 고딕" w:cs="맑은 고딕"/>
          <w:color w:val="000000"/>
        </w:rPr>
        <w:t>(3) 군수는 폐기물관리법 제48조에 따라 반입된 폐기물 전량을 수거·적법 처리하라는 조치명령을 하였습니다.</w:t>
      </w:r>
    </w:p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r>
        <w:rPr>
          <w:rFonts w:ascii="맑은 고딕" w:hAnsi="맑은 고딕" w:eastAsia="맑은 고딕" w:cs="맑은 고딕"/>
          <w:color w:val="000000"/>
        </w:rPr>
        <w:t>R-7-1 유형으로 [별표 5의3]의 재활용 기준은 충족했으나, 폐기물·성토 부분의 토양오염물질이 토양오염우려기준을 초과하여 [별표 5의4] 준수사항을 지키지 못한 경우, 폐기물관리법 제13조의2를 위반한 것인지가 쟁점입니다.</w:t>
      </w:r>
    </w:p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원심과 대법원의 판단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100"/>
            <w:shd w:val="clear" w:color="auto" w:fill="D9D9D9"/>
            <w:tcBorders>
              <w:bottom w:val="double" w:sz="6" w:space="0" w:color="808080"/>
            </w:tcBorders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pct" w:w="3900"/>
            <w:shd w:val="clear" w:color="auto" w:fill="D9D9D9"/>
            <w:tcBorders>
              <w:bottom w:val="double" w:sz="6" w:space="0" w:color="808080"/>
            </w:tcBorders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판단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9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제1항제5호의 위임을 받은 [별표 5의3]이 R-7-1에 토양오염우려기준을 명시하지 않았으므로, 제3항의 위임을 받은 [별표 5의4]는 R-7-1에 적용되지 않는다. 따라서 처분은 위법.</w:t>
            </w:r>
          </w:p>
        </w:tc>
      </w:tr>
      <w:tr>
        <w:tc>
          <w:tcPr>
            <w:tcW w:type="pct" w:w="11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대법원</w:t>
            </w:r>
          </w:p>
        </w:tc>
        <w:tc>
          <w:tcPr>
            <w:tcW w:type="pct" w:w="39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제13조의2 제3항은 제1항과 중첩하여 적용된다. 재활용하려는 자는 [별표 5의3]의 재활용 기준과 [별표 5의4]의 준수사항을 모두 따라야 하며, R-7-1에도 [별표 5의4]의 토양오염우려기준이 적용된다. 원심은 법리를 오해하였다.</w:t>
            </w:r>
          </w:p>
        </w:tc>
      </w:tr>
    </w:tbl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 요지</w:t>
      </w:r>
    </w:p>
    <w:p>
      <w:r>
        <w:rPr>
          <w:rFonts w:ascii="맑은 고딕" w:hAnsi="맑은 고딕" w:eastAsia="맑은 고딕" w:cs="맑은 고딕"/>
          <w:color w:val="000000"/>
        </w:rPr>
        <w:t>① 폐기물관리법은 재활용을 원칙적으로 허용하되 위해 우려가 있으면 금지하는 방식이므로, 재활용 기준과 준수사항을 엄격하게 설정할 필요가 있습니다.</w:t>
      </w:r>
    </w:p>
    <w:p>
      <w:r>
        <w:rPr>
          <w:rFonts w:ascii="맑은 고딕" w:hAnsi="맑은 고딕" w:eastAsia="맑은 고딕" w:cs="맑은 고딕"/>
          <w:color w:val="000000"/>
        </w:rPr>
        <w:t>② 성토재로 재활용한 폐기물은 기존 토양과 상호작용해 오염을 일으킬 수 있고 공사 완료 후 분리도 어려우므로, 토양오염 예방·저감 차원의 관리가 필요합니다.</w:t>
      </w:r>
    </w:p>
    <w:p>
      <w:r>
        <w:rPr>
          <w:rFonts w:ascii="맑은 고딕" w:hAnsi="맑은 고딕" w:eastAsia="맑은 고딕" w:cs="맑은 고딕"/>
          <w:color w:val="000000"/>
        </w:rPr>
        <w:t>③ 제1항제1호~제3호(환경오염 금지)는 구체적 기준을 직접 정하지 않고 제3항 위임 [별표 5의4]가 오염물질별 예방·저감 방법과 정도를 정합니다. 따라서 [별표 5의3]에 R-7-1 토양오염우려기준 명시가 없어도 [별표 5의4]로 규율됩니다.</w:t>
      </w:r>
    </w:p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참조 조문</w:t>
      </w:r>
    </w:p>
    <w:p>
      <w:pPr>
        <w:pStyle w:val="cite1"/>
      </w:pPr>
      <w:r>
        <w:rPr>
          <w:rFonts w:ascii="맑은 고딕" w:hAnsi="맑은 고딕" w:eastAsia="맑은 고딕" w:cs="맑은 고딕"/>
          <w:color w:val="000000"/>
        </w:rPr>
        <w:t>구 폐기물관리법 · 관련 시행규칙</w:t>
      </w:r>
    </w:p>
    <w:p>
      <w:r>
        <w:rPr>
          <w:rFonts w:ascii="맑은 고딕" w:hAnsi="맑은 고딕" w:eastAsia="맑은 고딕" w:cs="맑은 고딕"/>
          <w:color w:val="000000"/>
        </w:rPr>
        <w:t>구 폐기물관리법 제1조 · 제13조의2 제1항·제3항 · 제48조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구 폐기물관리법 시행규칙 제14조의3 제1항 [별표 5의3] · 제5항 [별표 5의4]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구 토양환경보전법 시행규칙 [별표 3] 토양오염우려기준</w:t>
      </w:r>
    </w:p>
    <w:p>
      <w:pPr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성토재(R-7-1) 재활용은 [별표 5의3] 재활용 기준만이 아니라 [별표 5의4] 준수사항의 토양오염우려기준을 반드시 충족해야 합니다.</w:t>
      </w:r>
    </w:p>
    <w:p>
      <w:pPr>
        <w:pStyle w:val="note"/>
      </w:pPr>
      <w:r>
        <w:rPr>
          <w:rFonts w:ascii="맑은 고딕" w:hAnsi="맑은 고딕" w:eastAsia="맑은 고딕" w:cs="맑은 고딕"/>
          <w:color w:val="000000"/>
        </w:rPr>
        <w:t>※ 초과 시 폐기물관리법 제48조에 따른 조치명령(반입 폐기물 전량 수거·처리) 대상이 될 수 있습니다.</w:t>
      </w:r>
    </w:p>
    <w:p>
      <w:pPr>
        <w:pStyle w:val="note"/>
      </w:pPr>
      <w:r>
        <w:rPr>
          <w:rFonts w:ascii="맑은 고딕" w:hAnsi="맑은 고딕" w:eastAsia="맑은 고딕" w:cs="맑은 고딕"/>
          <w:color w:val="000000"/>
        </w:rPr>
        <w:t>※ 이 사건 처분 이후 시행규칙 개정으로 R-7-1에도 토양오염우려기준이 명시되었으며, 결론은 현행과 같습니다.</w:t>
      </w:r>
    </w:p>
    <w:p>
      <w:pPr>
        <w:pStyle w:val="note"/>
      </w:pPr>
      <w:r>
        <w:rPr>
          <w:rFonts w:ascii="맑은 고딕" w:hAnsi="맑은 고딕" w:eastAsia="맑은 고딕" w:cs="맑은 고딕"/>
          <w:color w:val="000000"/>
        </w:rPr>
        <w:t>※ 본 정리는 판결문(대법원 2023두31454)을 요약한 참고자료이며, 구체적 사안은 원문과 전문가 검토가 필요합니다.</w:t>
      </w:r>
    </w:p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