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수질환경보전법위반(인정된죄명:폐기물관리법위반)·폐기물관리법위반</w:t>
      </w:r>
    </w:p>
    <w:p>
      <w:pPr>
        <w:pStyle w:val="law1"/>
        <w:spacing w:after="160"/>
      </w:pPr>
      <w:r>
        <w:rPr>
          <w:rFonts w:ascii="맑은 고딕" w:hAnsi="맑은 고딕" w:eastAsia="맑은 고딕" w:cs="맑은 고딕"/>
          <w:color w:val="000000"/>
        </w:rPr>
        <w:t>대법원 2007도5372 (2009.02.12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2007도5372</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2009.02.12</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판단</w:t>
      </w:r>
    </w:p>
    <w:p>
      <w:r>
        <w:rPr>
          <w:rFonts w:ascii="맑은 고딕" w:hAnsi="맑은 고딕" w:eastAsia="맑은 고딕" w:cs="맑은 고딕"/>
          <w:color w:val="000000"/>
        </w:rPr>
        <w:t>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t>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 다만,제4조 또는제5조의 규정에 의한 폐기물처리시설을 설치·운영하는 자에게 위탁하는 경우에는 그러하지 아니하다.”라고 규정하고 있다.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t>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t>2. 이 사건 공소사실 제3, 4항에 관한 상고이유에 대하여</w:t>
      </w:r>
      <w:r>
        <w:rPr>
          <w:rFonts w:ascii="맑은 고딕" w:hAnsi="맑은 고딕" w:eastAsia="맑은 고딕" w:cs="맑은 고딕"/>
          <w:color w:val="000000"/>
        </w:rPr>
        <w:br/>
      </w:r>
      <w:r>
        <w:rPr>
          <w:rFonts w:ascii="맑은 고딕" w:hAnsi="맑은 고딕" w:eastAsia="맑은 고딕" w:cs="맑은 고딕"/>
          <w:color w:val="000000"/>
        </w:rPr>
        <w:t>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그러나 이 부분 원심판단은 역시 수긍할 수 없다. …</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[4] 위생처리사업소에서 배출허용기준을 초과한 음식물자원화시설처리수를 하수종말처리장으로 배출한 행위가구 폐기물관리법 제61조 제14호 위반죄에 해당하지 않는다고 한 사례</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[1]구 폐기물관리법(2007. 1. 3. 법률 제8213호로 개정되기 전의 것) 제25조 제1항(현행제18조 제1항 참조),제60조 제2호(현행제65조 제2호 참조) / [2]구 폐기물관리법(2007. 1. 3. 법률 제8213호로 개정되기 전의 것) 제30조의3 제1항(현행제31조 제1항 참조),구 폐기물관리법 시행규칙(2007. 1. 9. 환경부령 제226호로 개정되기 전의 것) 제24조 [별표 8](현행제42조 [별표 11] 참조),구 수질환경보전법 시행규칙(2006. 4. 4. 환경부령 제0203호로 전문 개정되기 전의 것) 제8조 [별표 5] (현행수질 및 수생태계 보전에 관한 법률 시행규칙 제34조 [별표13] 참조) / [3]구 폐기물관리법(2007. 1. 3. 법률 제8213호로 개정되기 전의 것) 제61조 제14호(현행제66조 제13호 참조) / [4]구 폐기물관리법(2007. 1. 3. 법률 제8213호로 개정되기 전의 것) 제61조 제14호(현행제66조 제13호 참조)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