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폐기물관리법위반·대기환경보전법위반</w:t>
      </w:r>
    </w:p>
    <w:p>
      <w:pPr>
        <w:pStyle w:val="law1"/>
        <w:spacing w:after="160"/>
      </w:pPr>
      <w:r>
        <w:rPr>
          <w:rFonts w:ascii="맑은 고딕" w:hAnsi="맑은 고딕" w:eastAsia="맑은 고딕" w:cs="맑은 고딕"/>
          <w:color w:val="000000"/>
        </w:rPr>
        <w:t>대법원 2009도3876 (2010.09.30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2009도3876</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2010.09.30</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판단</w:t>
      </w:r>
    </w:p>
    <w:p>
      <w:r>
        <w:rPr>
          <w:rFonts w:ascii="맑은 고딕" w:hAnsi="맑은 고딕" w:eastAsia="맑은 고딕" w:cs="맑은 고딕"/>
          <w:color w:val="000000"/>
        </w:rPr>
        <w:t>상고이유를 살펴본다.</w:t>
      </w:r>
      <w:r>
        <w:rPr>
          <w:rFonts w:ascii="맑은 고딕" w:hAnsi="맑은 고딕" w:eastAsia="맑은 고딕" w:cs="맑은 고딕"/>
          <w:color w:val="000000"/>
        </w:rPr>
        <w:br/>
      </w:r>
      <w:r>
        <w:rPr>
          <w:rFonts w:ascii="맑은 고딕" w:hAnsi="맑은 고딕" w:eastAsia="맑은 고딕" w:cs="맑은 고딕"/>
          <w:color w:val="000000"/>
        </w:rPr>
        <w:t>1.폐기물관리법 제67조 제1항(이하 ‘이 사건 법률조항’이라 한다)은 법인의 대표자가 그 법인의 업무에 관하여제63조부터제66조까지의 규정에 따른 위반행위를 하면 그 행위자를 벌할 뿐만 아니라 그 법인도 해당 조문의 벌금형을 과한다고 규정하여 법인의 대표자가 그 업무와 관련하여 위반행위를 저지른 경우 그 법인에 대하여도 처벌하는 양벌규정을 두고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폐기물관리법에서 위와 같이 양벌규정을 따로 둔 취지는, 이 사건 법률조항이 적용되는 위반행위는 통상 개인적인 차원보다는 법인의 업무와 관련하여 반복적·계속적으로 이루어질 가능성이 크다는 점을 감안하여, 법인의 대표자가 그 업무와 관련하여 위반행위를 저지른 경우에는 그 법인도 형사처벌 대상으로 삼음으로써 위와 같은 위반행위 발생을 방지하고 위 조항의 규범력을 확보하려는 데 있다.</w:t>
      </w:r>
      <w:r>
        <w:rPr>
          <w:rFonts w:ascii="맑은 고딕" w:hAnsi="맑은 고딕" w:eastAsia="맑은 고딕" w:cs="맑은 고딕"/>
          <w:color w:val="000000"/>
        </w:rPr>
        <w:br/>
      </w:r>
      <w:r>
        <w:rPr>
          <w:rFonts w:ascii="맑은 고딕" w:hAnsi="맑은 고딕" w:eastAsia="맑은 고딕" w:cs="맑은 고딕"/>
          <w:color w:val="000000"/>
        </w:rPr>
        <w:t>또한, 법인은 기관을 통하여 행위하므로 법인이 대표자를 선임한 이상 그의 행위로 인한 법률효과는 법인에게 귀속되어야 하고, 법인 대표자의 범죄행위에 대하여는 법인 자신이 책임을 져야 하는바, 법인 대표자의 법규위반행위에 대한 법인의 책임은 법인 자신의 법규위반행위로 평가될 수 있는 행위에 대한 법인의 직접책임으로서, 대표자의 고의에 의한 위반행위에 대하여는 법인 자신의 고의에 의한 책임을, 대표자의 과실에 의한 위반행위에 대하여는 법인 자신의 과실에 의한 책임을 지는 것이다(헌법재판소 2010. 7. 29. 선고 2009헌가25 전원재판부 결정 참조).</w:t>
      </w:r>
      <w:r>
        <w:rPr>
          <w:rFonts w:ascii="맑은 고딕" w:hAnsi="맑은 고딕" w:eastAsia="맑은 고딕" w:cs="맑은 고딕"/>
          <w:color w:val="000000"/>
        </w:rPr>
        <w:br/>
      </w:r>
      <w:r>
        <w:rPr>
          <w:rFonts w:ascii="맑은 고딕" w:hAnsi="맑은 고딕" w:eastAsia="맑은 고딕" w:cs="맑은 고딕"/>
          <w:color w:val="000000"/>
        </w:rPr>
        <w:t>따라서 이 사건 법률조항 중 법인의 대표자 관련 부분은 대표자의 책임을 요건으로 하여 법인을 처벌하는 것이므로 위 양벌규정에 근거한 형사처벌이 형벌의 자기책임원칙에 반하여 헌법에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상고이유에서 지적하고 있는 헌법재판소 결정은 이 사건과 같이 법인의 대표자가 행위자인 경우가 아니라 법인 또는 개인의 대리인, 사용인 기타 종업원이 행위자인 경우에 관한 것으로서 이 사건에 그대로 원용하기에 부적절하다.</w:t>
      </w:r>
      <w:r>
        <w:rPr>
          <w:rFonts w:ascii="맑은 고딕" w:hAnsi="맑은 고딕" w:eastAsia="맑은 고딕" w:cs="맑은 고딕"/>
          <w:color w:val="000000"/>
        </w:rPr>
        <w:br/>
      </w:r>
      <w:r>
        <w:rPr>
          <w:rFonts w:ascii="맑은 고딕" w:hAnsi="맑은 고딕" w:eastAsia="맑은 고딕" w:cs="맑은 고딕"/>
          <w:color w:val="000000"/>
        </w:rPr>
        <w:t>2. 원심판결 및 제1심판결이 채용한 증거들을 기록에 비추어 살펴보면, 원심이 그 판시와 같은 이유에서피고인 1이 이 사건 폐기물처리시설을 설치·사용하였고, 오염물질 자동측정기기를 부착하지 않은 채 조업한 행위자에 해당한다고 인정한 것은 정당하고, 거기에 상고이유에서 주장하는 바와 같은 채증법칙 위반 등의 잘못이 없다.</w:t>
      </w:r>
      <w:r>
        <w:rPr>
          <w:rFonts w:ascii="맑은 고딕" w:hAnsi="맑은 고딕" w:eastAsia="맑은 고딕" w:cs="맑은 고딕"/>
          <w:color w:val="000000"/>
        </w:rPr>
        <w:br/>
      </w:r>
      <w:r>
        <w:rPr>
          <w:rFonts w:ascii="맑은 고딕" w:hAnsi="맑은 고딕" w:eastAsia="맑은 고딕" w:cs="맑은 고딕"/>
          <w:color w:val="000000"/>
        </w:rPr>
        <w:t>3.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대법관 이홍훈(재판장) 김능환 민일영(주심) 이인복</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폐기물관리법 제67조 제1항에서 ‘양벌규정’을 둔 취지 및 ‘법인 대표자’의 법규위반행위에 대한 ‘법인’ 책임의 법적 성격(=법인의 직접책임)</w:t>
      </w:r>
      <w:r>
        <w:rPr>
          <w:rFonts w:ascii="맑은 고딕" w:hAnsi="맑은 고딕" w:eastAsia="맑은 고딕" w:cs="맑은 고딕"/>
          <w:color w:val="000000"/>
        </w:rPr>
        <w:br/>
      </w:r>
      <w:r>
        <w:rPr>
          <w:rFonts w:ascii="맑은 고딕" w:hAnsi="맑은 고딕" w:eastAsia="맑은 고딕" w:cs="맑은 고딕"/>
          <w:color w:val="000000"/>
        </w:rPr>
        <w:t>[2] 폐기물관리법 제67조 제1항의 양벌규정 중 ‘법인의 대표자’ 관련 부분은 대표자의 책임을 요건으로 법인을 처벌하는 것이므로, 위 규정에 근거한 형사처벌이 형벌의 자기책임원칙에 반하여 헌법에 위배된다고 볼 수 없다고 한 사례</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[1]폐기물관리법(2010. 7. 23. 법률 제10389호로 개정되기 전의 것) 제67조 제1항 / [2]폐기물관리법(2010. 7. 23. 법률 제10389호로 개정되기 전의 것) 제67조 제1항,형법 제1조 제1항,헌법 제10조,제12조 제1항</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#형사판례 #대법원판례 #2010년판례 #2009도3876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