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 위반·수질 및 수생태계보전에 관한 법률 위반·산업집적활성화 및 공장설립에 관한 법률 위반</w:t>
      </w:r>
    </w:p>
    <w:p>
      <w:pPr>
        <w:pStyle w:val="law1"/>
        <w:spacing w:after="160"/>
      </w:pPr>
      <w:r>
        <w:rPr>
          <w:rFonts w:ascii="맑은 고딕" w:hAnsi="맑은 고딕" w:eastAsia="맑은 고딕" w:cs="맑은 고딕"/>
          <w:color w:val="000000"/>
        </w:rPr>
        <w:t>대법원 2010도16314 (2012.04.13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2010도16314</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2012.04.13</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t>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w:t>
      </w:r>
      <w:r>
        <w:rPr>
          <w:rFonts w:ascii="맑은 고딕" w:hAnsi="맑은 고딕" w:eastAsia="맑은 고딕" w:cs="맑은 고딕"/>
          <w:color w:val="000000"/>
        </w:rPr>
        <w:br/>
      </w:r>
      <w:r>
        <w:rPr>
          <w:rFonts w:ascii="맑은 고딕" w:hAnsi="맑은 고딕" w:eastAsia="맑은 고딕" w:cs="맑은 고딕"/>
          <w:color w:val="000000"/>
        </w:rPr>
        <w:t>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w:t>
      </w:r>
      <w:r>
        <w:rPr>
          <w:rFonts w:ascii="맑은 고딕" w:hAnsi="맑은 고딕" w:eastAsia="맑은 고딕" w:cs="맑은 고딕"/>
          <w:color w:val="000000"/>
        </w:rPr>
        <w:br/>
      </w:r>
      <w:r>
        <w:rPr>
          <w:rFonts w:ascii="맑은 고딕" w:hAnsi="맑은 고딕" w:eastAsia="맑은 고딕" w:cs="맑은 고딕"/>
          <w:color w:val="000000"/>
        </w:rPr>
        <w:t>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대 …</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‘폐기물’을 가공하여 완제품을 생산하는 경우, 폐기물의 속성을 잃고 완제품 생산을 위한 원료물질로 되기 위한 요건</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[1]구 폐기물관리법(2010. 7. 23. 법률 제10389호로 개정되기 전의 것) 제2조 제1호 / [2]구 폐기물관리법(2010. 7. 23. 법률 제10389호로 개정되기 전의 것) 제2조 제1호</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