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폐기물관리법위반이의</w:t>
      </w:r>
    </w:p>
    <w:p>
      <w:pPr>
        <w:pStyle w:val="law1"/>
        <w:spacing w:after="160"/>
      </w:pPr>
      <w:r>
        <w:rPr>
          <w:rFonts w:ascii="맑은 고딕" w:hAnsi="맑은 고딕" w:eastAsia="맑은 고딕" w:cs="맑은 고딕"/>
          <w:color w:val="000000"/>
        </w:rPr>
        <w:t>대법원 2012마1163 (2012.10.19 선고) · 민사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2012마1163</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2012.10.19</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민사</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과태료재판의 심판 범위(=행정청의 과태료부과처분사유와 기본적 사실관계에서 동일성이 인정되는 한도 내)</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t>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3. 그러므로 원심결정을 파기하고, 사건을 다시 심리·판단하게 하기 위하여 원심법원에 환송하기로 하여, 관여 대법관의 일치된 의견으로</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민사소송법 제224조 제2항, 비송사건절차법 제248조, 제250조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