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 사업장내 보관시설 및 파쇄시설을 건축물로 볼 수 있는지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 · 일반행정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처분의 경위 및 기초사실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처분의 경위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(2)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(3)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(4)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(5)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[인정근거] 다툼 없는 사실, 갑 제1 내지 4, 7호증(각 가지번호 포함)의 각 기재, 변론 전체의 취지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기초사실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이 사건 토지 중 00시 000구 00동 725-1 지상에는 바닥면적 244.8㎡의 사무실 건물(이하 ‘이 사건 사무실’이라 한다)이, 같은 동 273-1 지상에는 바닥면적 693.44㎡의 기업연구소 건물(이하 ‘이 사건 …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r>
        <w:rPr>
          <w:rFonts w:ascii="맑은 고딕" w:hAnsi="맑은 고딕" w:eastAsia="맑은 고딕" w:cs="맑은 고딕"/>
          <w:color w:val="000000"/>
        </w:rPr>
        <w:t>구분하기 위한 규정에 지나지 않는다).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2)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결 론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그렇다면, 원고의 이 사건 청구는 이유 없으므로 이를 기각하기로 하여 주문과 같이 판결한다.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----------------------------------------------------------------------------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【관계법령】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지방세법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제104조(정의)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재산세에서 사용하는 용어의 뜻은 다음과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제6조(정의)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취득세에서 사용하는 용어의 뜻은 다음 각 호와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제106조(과세대상의 구분)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공장용 건축물의 부속토지 등 대통령령으로 정하는 건축물의 부속토지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지방세법 시행령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제5조(시설의 범위)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저장시설: 수조, 저유조, 저장창고, 저장조 등의 옥외저장시설(다른 시설과 유기적으로 관련되어 있고 일시적으로 저장기능을 하는 시설을 포함한다)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건축법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제2조(정의)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① 이 법에서 사용하는 용어의 뜻은 다음과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■ 건축법 시행령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제3조의4(용도별 건축물의 종류)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법 제2조 제2항 각 호의 용도에 속하는 건축물의 종류는 …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r>
        <w:rPr>
          <w:rFonts w:ascii="맑은 고딕" w:hAnsi="맑은 고딕" w:eastAsia="맑은 고딕" w:cs="맑은 고딕"/>
          <w:color w:val="000000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