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폐기물처리시설설치비용부담금부과처분취소</w:t>
      </w:r>
    </w:p>
    <w:p>
      <w:pPr>
        <w:pStyle w:val="law1"/>
        <w:spacing w:after="160"/>
      </w:pPr>
      <w:r>
        <w:rPr>
          <w:rFonts w:ascii="맑은 고딕" w:hAnsi="맑은 고딕" w:eastAsia="맑은 고딕" w:cs="맑은 고딕"/>
          <w:color w:val="000000"/>
        </w:rPr>
        <w:t>대법원 2016두61044 (2019.07.10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2016두61044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2019.07.10</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판단</w:t>
      </w:r>
    </w:p>
    <w:p>
      <w:r>
        <w:rPr>
          <w:rFonts w:ascii="맑은 고딕" w:hAnsi="맑은 고딕" w:eastAsia="맑은 고딕" w:cs="맑은 고딕"/>
          <w:color w:val="000000"/>
        </w:rPr>
        <w:t>원심의 판단에는 폐기물시설촉진법상 폐기물처리시설 설치비용 해당금액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2. 원고의 상고이유에 대하여</w:t>
      </w:r>
      <w:r>
        <w:rPr>
          <w:rFonts w:ascii="맑은 고딕" w:hAnsi="맑은 고딕" w:eastAsia="맑은 고딕" w:cs="맑은 고딕"/>
          <w:color w:val="000000"/>
        </w:rPr>
        <w:br/>
      </w:r>
      <w:r>
        <w:rPr>
          <w:rFonts w:ascii="맑은 고딕" w:hAnsi="맑은 고딕" w:eastAsia="맑은 고딕" w:cs="맑은 고딕"/>
          <w:color w:val="000000"/>
        </w:rPr>
        <w:t>가. 주민편익시설 설치에 필요한 면적을 가산하는 것은 위법하다는 주장에 관하여</w:t>
      </w:r>
      <w:r>
        <w:rPr>
          <w:rFonts w:ascii="맑은 고딕" w:hAnsi="맑은 고딕" w:eastAsia="맑은 고딕" w:cs="맑은 고딕"/>
          <w:color w:val="000000"/>
        </w:rPr>
        <w:br/>
      </w:r>
      <w:r>
        <w:rPr>
          <w:rFonts w:ascii="맑은 고딕" w:hAnsi="맑은 고딕" w:eastAsia="맑은 고딕" w:cs="맑은 고딕"/>
          <w:color w:val="000000"/>
        </w:rPr>
        <w:t>(1)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참조).</w:t>
      </w:r>
      <w:r>
        <w:rPr>
          <w:rFonts w:ascii="맑은 고딕" w:hAnsi="맑은 고딕" w:eastAsia="맑은 고딕" w:cs="맑은 고딕"/>
          <w:color w:val="000000"/>
        </w:rPr>
        <w:br/>
      </w:r>
      <w:r>
        <w:rPr>
          <w:rFonts w:ascii="맑은 고딕" w:hAnsi="맑은 고딕" w:eastAsia="맑은 고딕" w:cs="맑은 고딕"/>
          <w:color w:val="000000"/>
        </w:rPr>
        <w:t>폐기물시설촉진법 및 시행령의 문언과 체제 등에 비추어 보면, 사업시행자가 설치하여야 하는 폐기물처리시설에 주민편익시설은 포함되지 않고, 설치비용 해당금액에 주민편익시설 설치비용은 포함되지 아니한다(대법원 2018. 11. 29. 선고 2016두35229 판결 참조).</w:t>
      </w:r>
      <w:r>
        <w:rPr>
          <w:rFonts w:ascii="맑은 고딕" w:hAnsi="맑은 고딕" w:eastAsia="맑은 고딕" w:cs="맑은 고딕"/>
          <w:color w:val="000000"/>
        </w:rPr>
        <w:br/>
      </w:r>
      <w:r>
        <w:rPr>
          <w:rFonts w:ascii="맑은 고딕" w:hAnsi="맑은 고딕" w:eastAsia="맑은 고딕" w:cs="맑은 고딕"/>
          <w:color w:val="000000"/>
        </w:rPr>
        <w:t>이 사건 조례 제4조 제2호에서는 부지면적을 시설 설치, 주민편익시설 설치 및 주변 녹지대 설치에 필요한 면적을 합하여 산출하도록 규정하고, 그 구체적 기준을 정한 [별표]에서도 총부지면적에 시설부지면적(폐기물처리시설, 관리동, 세차동 등 기타시설 면적)의 10%에 해당하는 주민편익시설 면적을 포함하도록 규정함으로써 설치비용 해당금액에 ‘주민편익시설 설치비용’을 포함시키고 있다.</w:t>
      </w:r>
      <w:r>
        <w:rPr>
          <w:rFonts w:ascii="맑은 고딕" w:hAnsi="맑은 고딕" w:eastAsia="맑은 고딕" w:cs="맑은 고딕"/>
          <w:color w:val="000000"/>
        </w:rPr>
        <w:br/>
      </w:r>
      <w:r>
        <w:rPr>
          <w:rFonts w:ascii="맑은 고딕" w:hAnsi="맑은 고딕" w:eastAsia="맑은 고딕" w:cs="맑은 고딕"/>
          <w:color w:val="000000"/>
        </w:rPr>
        <w:t>그렇다면 이 사건 조례 제4조 제2호 및 [별표] 중 ‘주민편익시설 설치’에 필요한 면적을 포함시켜 설치비용 해당금액을 산정하도록 한 부분은 폐기물시설촉진법의 가능한 해석범위를 넘어 이를 확장함으로써 위임의 한계를 벗어나 새로운 입법을 한 것과 다름없으므로 그 효력이 없다.</w:t>
      </w:r>
      <w:r>
        <w:rPr>
          <w:rFonts w:ascii="맑은 고딕" w:hAnsi="맑은 고딕" w:eastAsia="맑은 고딕" w:cs="맑은 고딕"/>
          <w:color w:val="000000"/>
        </w:rPr>
        <w:br/>
      </w:r>
      <w:r>
        <w:rPr>
          <w:rFonts w:ascii="맑은 고딕" w:hAnsi="맑은 고딕" w:eastAsia="맑은 고딕" w:cs="맑은 고딕"/>
          <w:color w:val="000000"/>
        </w:rPr>
        <w:t>(2) 그런데도 원심은, 시장 등에게 사업시행자 대신 자신의 계산으로 주민편익시설까지 설치하도록 하는 것은 부당하다는 등의 이유를 들어, 주민편익시설 설치비용을 포함시킨 이 사건 처분이 적법하다고 판단하였다. 이러한 원심판결에는 폐기물시설촉진법상 폐기물처리시설 설치비용 해당금액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나. 부지매입단가, 소각시설 부지면적, 시설설치단가 산정이 위법하다는 주장에 관하여</w:t>
      </w:r>
      <w:r>
        <w:rPr>
          <w:rFonts w:ascii="맑은 고딕" w:hAnsi="맑은 고딕" w:eastAsia="맑은 고딕" w:cs="맑은 고딕"/>
          <w:color w:val="000000"/>
        </w:rPr>
        <w:br/>
      </w:r>
      <w:r>
        <w:rPr>
          <w:rFonts w:ascii="맑은 고딕" w:hAnsi="맑은 고딕" w:eastAsia="맑은 고딕" w:cs="맑은 고딕"/>
          <w:color w:val="000000"/>
        </w:rPr>
        <w:t>(1) 이 부분 상고이유의 요지는, 이 사건 조례 제4조 및 [별표] 중 부지매입단가를 당해 공동주택단지나 택지의 조성원가로 획일적으로 규정한 부분은 무효이고, 피고가 폐기물을 당해 사업지구 밖에 설치된 기존 폐기물처리시설에서 처리하기로 한 이상, 기존 폐기물처리시설의 부지매입단가, 시설부지 면적 등을 기준으로 설치비용 해당금액을 산정하여야 한다는 취지이다.</w:t>
      </w:r>
      <w:r>
        <w:rPr>
          <w:rFonts w:ascii="맑은 고딕" w:hAnsi="맑은 고딕" w:eastAsia="맑은 고딕" w:cs="맑은 고딕"/>
          <w:color w:val="000000"/>
        </w:rPr>
        <w:br/>
      </w:r>
      <w:r>
        <w:rPr>
          <w:rFonts w:ascii="맑은 고딕" w:hAnsi="맑은 고딕" w:eastAsia="맑은 고딕" w:cs="맑은 고딕"/>
          <w:color w:val="000000"/>
        </w:rPr>
        <w:t>(2) 이 사건 조례 제4조 제1호에서는 부지매입단가는 개발하고자 하는 당해 공동주택단지나 택지의 ‘㎡당 조성원가’를 기준으로 산정하도록 규정하고 있다. 이는 위 법령 규정에 의한 설치비용 해당금액 산정기준을 구체화한 것으로서, 폐기물처리시설의 시설부지가 해당 사업지구 내로 확정된 경우나 그 시설부지가 확정되지 않은 경우에 한하여 적용되고, 해당 사업지구 바깥의 토지가 시설부지로 확정된 경우에는 그 시설부지의 매입에 드는 실제 비용이 설치부담금 산정의 기준이 되어야 할 것이므로, 그 범위에서는 위 조례 규정은 적용되지 않는다고 해석하여야 한다. 이와 같이 해석하는 한 위 조례규정이 상위법령의 위임의 한계를 벗어났다고 볼 수 없다(대법원 2016. 12. 15. 선고 2013두8431 판결 참조).</w:t>
      </w:r>
      <w:r>
        <w:rPr>
          <w:rFonts w:ascii="맑은 고딕" w:hAnsi="맑은 고딕" w:eastAsia="맑은 고딕" w:cs="맑은 고딕"/>
          <w:color w:val="000000"/>
        </w:rPr>
        <w:br/>
      </w:r>
      <w:r>
        <w:rPr>
          <w:rFonts w:ascii="맑은 고딕" w:hAnsi="맑은 고딕" w:eastAsia="맑은 고딕" w:cs="맑은 고딕"/>
          <w:color w:val="000000"/>
        </w:rPr>
        <w:t>(3) 한편 법원은 변론 전체의 취지와 증거조사의 결과를 참작하여 자유로운 심증으로 사회정의와 형평의 이념에 입각하여 논리와 경험의 법칙에 따라 사실 주장이 진실한지 아닌지를 판단하고(행정소송법 제8조 제2항, 민사소송법 제202조), 그 판단은 위와 같은 자유심증주의의 한계를 벗어나지 않는 한 사실심법원의 전권에 속한다(대법원 2016. 3. 24. 선고 2013두925 판결 참조).</w:t>
      </w:r>
      <w:r>
        <w:rPr>
          <w:rFonts w:ascii="맑은 고딕" w:hAnsi="맑은 고딕" w:eastAsia="맑은 고딕" w:cs="맑은 고딕"/>
          <w:color w:val="000000"/>
        </w:rPr>
        <w:br/>
      </w:r>
      <w:r>
        <w:rPr>
          <w:rFonts w:ascii="맑은 고딕" w:hAnsi="맑은 고딕" w:eastAsia="맑은 고딕" w:cs="맑은 고딕"/>
          <w:color w:val="000000"/>
        </w:rPr>
        <w:t>원심은, 피고가 사업지구 밖에 이미 설치되어 있던 기존 폐기물처리시설을 활용할 예정이라고 하더라도 해당 사업지구 바깥의 토지가 시설부지로 확정된 경우라고 볼 수 없고, 피고가 이 사건 조례에 따라 부지매입단가, 부지면적 등을 산정한 것은 위법하지 않다고 판단하였다.</w:t>
      </w:r>
      <w:r>
        <w:rPr>
          <w:rFonts w:ascii="맑은 고딕" w:hAnsi="맑은 고딕" w:eastAsia="맑은 고딕" w:cs="맑은 고딕"/>
          <w:color w:val="000000"/>
        </w:rPr>
        <w:br/>
      </w:r>
      <w:r>
        <w:rPr>
          <w:rFonts w:ascii="맑은 고딕" w:hAnsi="맑은 고딕" w:eastAsia="맑은 고딕" w:cs="맑은 고딕"/>
          <w:color w:val="000000"/>
        </w:rPr>
        <w:t>기록을 살펴보면, 해당 사업지구 바깥의 토지가 시설부지로 확정된 경우가 아니라는 원심의 판단에 논리와 경험의 법칙에 반하여 자유심증주의의 한계를 벗어나거나 관련 법리를 오해하는 등의 잘못이 없다. 따라서 해당 사업지구 바깥의 토지가 시설부지로 확정된 경우를 전제로 하는 이 부분 상고이유는 받아들일 수 없다.</w:t>
      </w:r>
      <w:r>
        <w:rPr>
          <w:rFonts w:ascii="맑은 고딕" w:hAnsi="맑은 고딕" w:eastAsia="맑은 고딕" w:cs="맑은 고딕"/>
          <w:color w:val="000000"/>
        </w:rPr>
        <w:br/>
      </w:r>
      <w:r>
        <w:rPr>
          <w:rFonts w:ascii="맑은 고딕" w:hAnsi="맑은 고딕" w:eastAsia="맑은 고딕" w:cs="맑은 고딕"/>
          <w:color w:val="000000"/>
        </w:rPr>
        <w:t>다. 음식물폐기물처리시설 규모지수를 적용한 것이 위법하다는 주장에 관하여</w:t>
      </w:r>
      <w:r>
        <w:rPr>
          <w:rFonts w:ascii="맑은 고딕" w:hAnsi="맑은 고딕" w:eastAsia="맑은 고딕" w:cs="맑은 고딕"/>
          <w:color w:val="000000"/>
        </w:rPr>
        <w:br/>
      </w:r>
      <w:r>
        <w:rPr>
          <w:rFonts w:ascii="맑은 고딕" w:hAnsi="맑은 고딕" w:eastAsia="맑은 고딕" w:cs="맑은 고딕"/>
          <w:color w:val="000000"/>
        </w:rPr>
        <w:t>원심은, 이 사건 조례 제6조 제3항이 1일 처리능력 30t의 음식물류폐기물처리시설을 기준으로 그 규모의 변화에 따라 규모지수를 적용할 수 있도록 한 것은 시행령보다 가중된 기준을 정하는 것이 아니라 시행령 규정의 내용을 구체화한 것에 불과하고, 피고가 이 사건 조례에 따라 규모지수 1.2를 적용한 것은 위법하지 않다고 판단하였다.</w:t>
      </w:r>
      <w:r>
        <w:rPr>
          <w:rFonts w:ascii="맑은 고딕" w:hAnsi="맑은 고딕" w:eastAsia="맑은 고딕" w:cs="맑은 고딕"/>
          <w:color w:val="000000"/>
        </w:rPr>
        <w:br/>
      </w:r>
      <w:r>
        <w:rPr>
          <w:rFonts w:ascii="맑은 고딕" w:hAnsi="맑은 고딕" w:eastAsia="맑은 고딕" w:cs="맑은 고딕"/>
          <w:color w:val="000000"/>
        </w:rPr>
        <w:t>관련 법리에 따라 기록을 살펴보면, 원심의 위와 같은 판단에 폐기물시설촉진법상 폐기물처리시설 설치비용 해당 금액 산정 등에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t>3.</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하위법령의 규정이 상위법령의 규정에 저촉되는지가 명백하지 않으나 하위법령의 의미를 상위법령에 합치되는 것으로 해석하는 것이 가능한 경우, 하위법령이 상위법령에 위반된다는 이유로 무효를 선언할 수 있는지 여부(소극) / 특정 사안과 관련하여 법령에서 조례에 위임을 한 경우, 조례가 위임의 한계를 준수하였는지 판단하는 방법</w:t>
      </w:r>
      <w:r>
        <w:rPr>
          <w:rFonts w:ascii="맑은 고딕" w:hAnsi="맑은 고딕" w:eastAsia="맑은 고딕" w:cs="맑은 고딕"/>
          <w:color w:val="000000"/>
        </w:rPr>
        <w:br/>
      </w:r>
      <w:r>
        <w:rPr>
          <w:rFonts w:ascii="맑은 고딕" w:hAnsi="맑은 고딕" w:eastAsia="맑은 고딕" w:cs="맑은 고딕"/>
          <w:color w:val="000000"/>
        </w:rPr>
        <w:t>[2] 군수가 구 폐기물처리시설 설치촉진 및 주변지역지원 등에 관한 법률 제6조 등에 따라 폐기물처리시설 설치비용에 해당하는 금액을 납부하기로 한 혁신도시 개발사업 시행자에게 ‘완주군 폐기물처리시설 설치비용 징수와 기금설치 및 운용에 관한 조례’ 규정에 따라 폐기물처리시설 설치비용 산정의 기준이 되는 부지면적에 ‘관리동’과 ‘세차동 등 기타시설’의 면적을 포함시켜 부지매입비용을 산정한 폐기물처리시설 설치비용 부담금을 부과한 사안에서, 위 조례 규정 중 ‘관리동’, ‘세차동 등 기타시설’의 부지면적 산정에 관한 부분은 상위법령을 구체화한 것에 불과하고 상위법령의 위임의 한계를 벗어나 무효라고 볼 수 없음에도, 이와 달리 본 원심판단에 법리를 오해한 잘못이 있다고 한 사례</w:t>
      </w:r>
      <w:r>
        <w:rPr>
          <w:rFonts w:ascii="맑은 고딕" w:hAnsi="맑은 고딕" w:eastAsia="맑은 고딕" w:cs="맑은 고딕"/>
          <w:color w:val="000000"/>
        </w:rPr>
        <w:br/>
      </w:r>
      <w:r>
        <w:rPr>
          <w:rFonts w:ascii="맑은 고딕" w:hAnsi="맑은 고딕" w:eastAsia="맑은 고딕" w:cs="맑은 고딕"/>
          <w:color w:val="000000"/>
        </w:rPr>
        <w:t>[3] 구 폐기물처리시설 설치촉진 및 주변지역지원 등에 관한 법률에 따라 사업시행자가 설치하여야 하는 폐기물처리시설에 주민편익시설이 포함되는지 및 폐기물처리시설 설치비용 해당 금액에 주민편익시설 설치비용이 포함되는지 여부(소극)</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지방자치법 제22조, 행정규제기본법 제4조 / [2] 구 폐기물처리시설 설치촉진 및 주변지역지원 등에 관한 법률(2013. 8. 13. 법률 제12077호로 개정되기 전의 것) 제2조, 제6조, 구 폐기물처리시설 설치촉진 및 주변지역지원 등에 관한 법률 시행령(2014. 2. 11. 대통령령 제25165호로 개정되기 전의 것) 제4조 / [3]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#폐기물처리시설설치비용부담금 #폐기물부담금 #폐기물처리시설 #행정판례 #대법원판례 #2019년판례 #2016두61044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