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폐기물처리시설설치비용부담금부과처분취소</w:t>
      </w:r>
    </w:p>
    <w:p>
      <w:pPr>
        <w:pStyle w:val="law1"/>
        <w:spacing w:after="160"/>
      </w:pPr>
      <w:r>
        <w:rPr>
          <w:rFonts w:ascii="맑은 고딕" w:hAnsi="맑은 고딕" w:eastAsia="맑은 고딕" w:cs="맑은 고딕"/>
          <w:color w:val="000000"/>
        </w:rPr>
        <w:t>대법원 2016두61051 (2019.07.10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2016두61051</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2019.07.10</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 원고의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주민편익시설 설치에 필요한 면적을 가산하는 것은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w:t>
      </w:r>
      <w:r>
        <w:rPr>
          <w:rFonts w:ascii="맑은 고딕" w:hAnsi="맑은 고딕" w:eastAsia="맑은 고딕" w:cs="맑은 고딕"/>
          <w:color w:val="000000"/>
        </w:rPr>
        <w:br/>
      </w:r>
      <w:r>
        <w:rPr>
          <w:rFonts w:ascii="맑은 고딕" w:hAnsi="맑은 고딕" w:eastAsia="맑은 고딕" w:cs="맑은 고딕"/>
          <w:color w:val="000000"/>
        </w:rPr>
        <w:t>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w:t>
      </w:r>
      <w:r>
        <w:rPr>
          <w:rFonts w:ascii="맑은 고딕" w:hAnsi="맑은 고딕" w:eastAsia="맑은 고딕" w:cs="맑은 고딕"/>
          <w:color w:val="000000"/>
        </w:rPr>
        <w:br/>
      </w:r>
      <w:r>
        <w:rPr>
          <w:rFonts w:ascii="맑은 고딕" w:hAnsi="맑은 고딕" w:eastAsia="맑은 고딕" w:cs="맑은 고딕"/>
          <w:color w:val="000000"/>
        </w:rPr>
        <w:t>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(2)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나. 부지매입단가, 소각시설 부지면적, 시설설치단가 산정이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(1)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(2) 이 사건 조례 제4조 제1호에서는 부지매입단가는 개발하고자 하는 당해 공동주택단지나 택지의 ‘㎡당 조성원가’를 기준으로 산정하도록 규정하고 있다.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 이와 같이 해석하는 한 위 조례규정이 상위법령의 위임의 한계를 벗어났다고 볼 수 없다(대법원 2016. 12. 15. 선고 2013두8431 판결 참조).</w:t>
      </w:r>
      <w:r>
        <w:rPr>
          <w:rFonts w:ascii="맑은 고딕" w:hAnsi="맑은 고딕" w:eastAsia="맑은 고딕" w:cs="맑은 고딕"/>
          <w:color w:val="000000"/>
        </w:rPr>
        <w:br/>
      </w:r>
      <w:r>
        <w:rPr>
          <w:rFonts w:ascii="맑은 고딕" w:hAnsi="맑은 고딕" w:eastAsia="맑은 고딕" w:cs="맑은 고딕"/>
          <w:color w:val="000000"/>
        </w:rPr>
        <w:t>(3)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w:t>
      </w:r>
      <w:r>
        <w:rPr>
          <w:rFonts w:ascii="맑은 고딕" w:hAnsi="맑은 고딕" w:eastAsia="맑은 고딕" w:cs="맑은 고딕"/>
          <w:color w:val="000000"/>
        </w:rPr>
        <w:br/>
      </w:r>
      <w:r>
        <w:rPr>
          <w:rFonts w:ascii="맑은 고딕" w:hAnsi="맑은 고딕" w:eastAsia="맑은 고딕" w:cs="맑은 고딕"/>
          <w:color w:val="000000"/>
        </w:rPr>
        <w:t>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기록을 살펴보면, 해당 사업지구 바깥의 토지가 시설부지로 확정된 경우가 아니라는 원심의 판단에 논리와 경험의 법칙에 반하여 자유심증주의의 한계를 벗어나거나 관련 법리를 오해하는 등의 잘못이 없다.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다. 음식물폐기물처리시설 규모지수를 적용한 것이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관련 법리에 따라 기록을 살펴보면, 원심의 위와 같은 판단에 폐기물시설촉진법상 폐기물처리시설 설치비용 해당 금액 산정 등에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3.</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지방자치법 제22조, 행정규제기본법 제4조 / [2] 구 폐기물처리시설 설치촉진 및 주변지역지원 등에 관한 법률(2013. 8. 13. 법률 제12077호로 개정되기 전의 것) 제2조, 제6조, 구 폐기물처리시설 설치촉진 및 주변지역지원 등에 관한 법률 시행령(2014. 2. 11. 대통령령 제25165호로 개정되기 전의 것) 제4조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