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인천송도10공구매립지일부구간귀속지방자치단체결정취소</w:t>
      </w:r>
    </w:p>
    <w:p>
      <w:pPr>
        <w:pStyle w:val="law1"/>
        <w:spacing w:after="160"/>
      </w:pPr>
      <w:r>
        <w:rPr>
          <w:rFonts w:ascii="맑은 고딕" w:hAnsi="맑은 고딕" w:eastAsia="맑은 고딕" w:cs="맑은 고딕"/>
          <w:color w:val="000000"/>
        </w:rPr>
        <w:t>대법원 2016추5025 (2020.12.24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2016추5025</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2020.12.24</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판단</w:t>
      </w:r>
    </w:p>
    <w:p>
      <w:r>
        <w:rPr>
          <w:rFonts w:ascii="맑은 고딕" w:hAnsi="맑은 고딕" w:eastAsia="맑은 고딕" w:cs="맑은 고딕"/>
          <w:color w:val="000000"/>
        </w:rPr>
        <w:t>관련 법리</w:t>
      </w:r>
      <w:r>
        <w:rPr>
          <w:rFonts w:ascii="맑은 고딕" w:hAnsi="맑은 고딕" w:eastAsia="맑은 고딕" w:cs="맑은 고딕"/>
          <w:color w:val="000000"/>
        </w:rPr>
        <w:br/>
      </w:r>
      <w:r>
        <w:rPr>
          <w:rFonts w:ascii="맑은 고딕" w:hAnsi="맑은 고딕" w:eastAsia="맑은 고딕" w:cs="맑은 고딕"/>
          <w:color w:val="000000"/>
        </w:rPr>
        <w:t>2009. 4. 1. 법률 제9577호로 지방자치법 제4조를 개정하여 행정안전부장관이 매립지가 속할 지방자치단체를 결정하는 제도를 신설한 입법 취지에 비추어 보면, 종래 매립지의 관할 귀속에 관하여 ‘해상경계선 기준’이 가지던 관습법적 효력은 위 지방자치법 개정으로 제한되었으며, 행정안전부장관 및 그 소속 위원회는 매립지가 속할 지방자치단체를 정할 때 폭넓은 형성의 재량을 가진다고 보아야 한다. 다만 그 형성의 재량은 무제한적인 것이 아니라, 관련되는 제반 이익을 종합적으로 고려하여 비교ㆍ형량하여야 하는 제한이 있다. 행정안전부장관 및 그 소속 위원회가 그러한 이익형량을 전혀 하지 않았거나 이익형량의 고려대상에 마땅히 포함시켜야 할 사항을 누락한 경우 또는 이익형량을 하였으나 정당성ㆍ객관성이 결여된 경우에는 그 관할 귀속 결정은 재량권을 일탈ㆍ남용한 것으로 위법하다고 보아야 한다. 위와 같은 지방자치법의 개정 취지 등을 고려하면, 행정안전부장관 및 그 소속 위원회가 매립지가 속할 지방자치단체를 결정할 때에는 일반적으로 다음과 같은 사항을 포함하여 고려하여야 한다(대법원 2013. 11. 14. 선고 2010추73 판결 참조).</w:t>
      </w:r>
      <w:r>
        <w:rPr>
          <w:rFonts w:ascii="맑은 고딕" w:hAnsi="맑은 고딕" w:eastAsia="맑은 고딕" w:cs="맑은 고딕"/>
          <w:color w:val="000000"/>
        </w:rPr>
        <w:br/>
      </w:r>
      <w:r>
        <w:rPr>
          <w:rFonts w:ascii="맑은 고딕" w:hAnsi="맑은 고딕" w:eastAsia="맑은 고딕" w:cs="맑은 고딕"/>
          <w:color w:val="000000"/>
        </w:rPr>
        <w:t>① 매립지 내 각 지역의 세부 토지이용계획 및 인접 지역과의 유기적 이용관계 등을 고려하여 관할구역을 결정하여 효율적인 신규토지의 이용이 가능하도록 하여야 한다.</w:t>
      </w:r>
      <w:r>
        <w:rPr>
          <w:rFonts w:ascii="맑은 고딕" w:hAnsi="맑은 고딕" w:eastAsia="맑은 고딕" w:cs="맑은 고딕"/>
          <w:color w:val="000000"/>
        </w:rPr>
        <w:br/>
      </w:r>
      <w:r>
        <w:rPr>
          <w:rFonts w:ascii="맑은 고딕" w:hAnsi="맑은 고딕" w:eastAsia="맑은 고딕" w:cs="맑은 고딕"/>
          <w:color w:val="000000"/>
        </w:rPr>
        <w:t>② 공유수면이 매립되어 육지화된 이상 더는 해상경계선만을 기준으로 관할 귀속 결정을 할 것은 아니고, 매립지와 인근 지방자치단체 관할구역의 연결 형상, 연접관계 및 거리, 관할의 경계로 쉽게 인식될 수 있는 도로, 하천, 운하 등 자연지형 및 인공구조물의 위치 등을 고려하여 매립지가 토지로 이용되는 상황을 전제로 합리적인 관할구역 경계를 설정하여야 한다.</w:t>
      </w:r>
      <w:r>
        <w:rPr>
          <w:rFonts w:ascii="맑은 고딕" w:hAnsi="맑은 고딕" w:eastAsia="맑은 고딕" w:cs="맑은 고딕"/>
          <w:color w:val="000000"/>
        </w:rPr>
        <w:br/>
      </w:r>
      <w:r>
        <w:rPr>
          <w:rFonts w:ascii="맑은 고딕" w:hAnsi="맑은 고딕" w:eastAsia="맑은 고딕" w:cs="맑은 고딕"/>
          <w:color w:val="000000"/>
        </w:rPr>
        <w:t>③ 매립지와 인근 지방자치단체의 연접관계 및 거리, 도로, 항만, 전기, 수도, 통신 등 기반시설의 설치ㆍ관리, 행정서비스의 신속한 제공, 긴급상황 시 대처능력 등 여러 요소를 고려하여 행정의 효율성이 현저히 저해되지 않아야 한다.</w:t>
      </w:r>
      <w:r>
        <w:rPr>
          <w:rFonts w:ascii="맑은 고딕" w:hAnsi="맑은 고딕" w:eastAsia="맑은 고딕" w:cs="맑은 고딕"/>
          <w:color w:val="000000"/>
        </w:rPr>
        <w:br/>
      </w:r>
      <w:r>
        <w:rPr>
          <w:rFonts w:ascii="맑은 고딕" w:hAnsi="맑은 고딕" w:eastAsia="맑은 고딕" w:cs="맑은 고딕"/>
          <w:color w:val="000000"/>
        </w:rPr>
        <w:t>④ 매립지와 인근 지방자치단체의 교통관계, 외부로부터의 접근성 등을 고려하여 매립지 거주 주민들의 입장에서 어느 지방자치단체의 관할구역에 편입되는 것이 주거생활 및 생업에 편리할 것인지를 고려하여야 한다.</w:t>
      </w:r>
      <w:r>
        <w:rPr>
          <w:rFonts w:ascii="맑은 고딕" w:hAnsi="맑은 고딕" w:eastAsia="맑은 고딕" w:cs="맑은 고딕"/>
          <w:color w:val="000000"/>
        </w:rPr>
        <w:br/>
      </w:r>
      <w:r>
        <w:rPr>
          <w:rFonts w:ascii="맑은 고딕" w:hAnsi="맑은 고딕" w:eastAsia="맑은 고딕" w:cs="맑은 고딕"/>
          <w:color w:val="000000"/>
        </w:rPr>
        <w:t>⑤ 매립공사의 시행으로 인근 지방자치단체와 주민들이 인접 공유수면을 상실하게 되므로 이로 인하여 잃게 되는 지방자치단체들의 해양 접근성에 대한 연혁적ㆍ현실적 이익 및 그 주민들의 생활기반과 경제적 이익을 감안하여야 한다.</w:t>
      </w:r>
      <w:r>
        <w:rPr>
          <w:rFonts w:ascii="맑은 고딕" w:hAnsi="맑은 고딕" w:eastAsia="맑은 고딕" w:cs="맑은 고딕"/>
          <w:color w:val="000000"/>
        </w:rPr>
        <w:br/>
      </w:r>
      <w:r>
        <w:rPr>
          <w:rFonts w:ascii="맑은 고딕" w:hAnsi="맑은 고딕" w:eastAsia="맑은 고딕" w:cs="맑은 고딕"/>
          <w:color w:val="000000"/>
        </w:rPr>
        <w:t>⑥ 하나의 계획으로 전체적인 매립사업계획이 수립되고 그 구도하에서 사업내용이나 지구별로 단계적ㆍ순차적으로 진행되는 매립사업에서는 매립이 완료된 부분에 대한 행정적 지원의 필요 등으로 전체 매립대상지역이 아니라 매립이 완료된 일부 지역에 대한 관할 귀속 결정을 먼저 할 수밖에 없는 경우에도 그 부분의 관할 귀속 결정은 나머지 매립 예정 지역의 관할 결정에도 상당한 영향을 미칠 수 있다. 따라서 일부 구역에 대해서만 관할 귀속 결정을 할 경우에도 해당 매립사업의 전체적 추진계획, 매립지의 구역별 토지이용계획 및 용도, 항만의 조성과 이용계획 등을 종합적으로 고려하여 매립예정지역의 전체적인 관할 구도의 틀을 감안한 관할 귀속 결정이 이루어지도록 하여야 한다. 만일 전체적인 관할 구도에 비추어 부적절한 관할 귀속 결정이 부분적으로 이루어지게 되면, 해당 매립사업의 전체적 추진계획 및 매립지의 세부 토지이용계획 등이 반영되지 못하게 될 위험이 있을 뿐만 아니라, 관할 귀속 결정이 이루어질 때마다 지방자치단체 사이에 분쟁이 생길 수 있고, 이로 인하여 국가 및 그 지역사회 차원에서 사회적ㆍ경제적 비용이 늘어나게 되며, 사회통합에도 장애가 되어 바람직하지 못하다. 게다가 특정 매립완료지역에 대하여 일단 분리 결정이 되면 그 부분의 관할권을 가지게 된 지방자치단체의 기득권처럼 치부되어 각 단계마다 새로이 이해관계 조정이 이루어지게 됨으로써 전체적인 이익형량을 그르치거나 불필요한 소모적 다툼이 연장될 우려도 배제할 수 없다. 이와 같은 제반 사정에 비추어 매립대상지역 중 완공이 된 일부 지역에 대하여 관할 귀속 결정을 할 경우에도 전체 매립대상지역의 관할 구분 구도에 어긋나지 않게 관할 귀속 결정이 이루어져야 한다.</w:t>
      </w:r>
      <w:r>
        <w:rPr>
          <w:rFonts w:ascii="맑은 고딕" w:hAnsi="맑은 고딕" w:eastAsia="맑은 고딕" w:cs="맑은 고딕"/>
          <w:color w:val="000000"/>
        </w:rPr>
        <w:br/>
      </w:r>
      <w:r>
        <w:rPr>
          <w:rFonts w:ascii="맑은 고딕" w:hAnsi="맑은 고딕" w:eastAsia="맑은 고딕" w:cs="맑은 고딕"/>
          <w:color w:val="000000"/>
        </w:rPr>
        <w:t>3) 판단</w:t>
      </w:r>
      <w:r>
        <w:rPr>
          <w:rFonts w:ascii="맑은 고딕" w:hAnsi="맑은 고딕" w:eastAsia="맑은 고딕" w:cs="맑은 고딕"/>
          <w:color w:val="000000"/>
        </w:rPr>
        <w:br/>
      </w:r>
      <w:r>
        <w:rPr>
          <w:rFonts w:ascii="맑은 고딕" w:hAnsi="맑은 고딕" w:eastAsia="맑은 고딕" w:cs="맑은 고딕"/>
          <w:color w:val="000000"/>
        </w:rPr>
        <w:t>갑 제1, 2호증, 갑 제4호증의 3, 을 제2호증의 1~10, 을나 제1, 3, 5호증, 을나 제6호증의 1, 2, 을나 제8호증, 을나 제9호증의 1, 2의 각 기재와 변론 전체의 취지를 종합하여 인정되는 아래 사정들을 앞서 본 법리에 비추어 살펴보면, 피고가 이 사건 결정을 하면서 관련된 제반 이익의 비교ㆍ형량을 전혀 하지 않았거나 이익형량의 고려대상에 마땅히 포함시켜야 할 사항을 누락한 경우 또는 이익형량을 하였으나 정당성ㆍ객관성이 결여된 경우에 해당한다고 보기 어려우므로, 이 사건 결정이 재량권을 일탈ㆍ남용한 위법한 처분이라고 할 수 없다.</w:t>
      </w:r>
      <w:r>
        <w:rPr>
          <w:rFonts w:ascii="맑은 고딕" w:hAnsi="맑은 고딕" w:eastAsia="맑은 고딕" w:cs="맑은 고딕"/>
          <w:color w:val="000000"/>
        </w:rPr>
        <w:br/>
      </w:r>
      <w:r>
        <w:rPr>
          <w:rFonts w:ascii="맑은 고딕" w:hAnsi="맑은 고딕" w:eastAsia="맑은 고딕" w:cs="맑은 고딕"/>
          <w:color w:val="000000"/>
        </w:rPr>
        <w:t>① 인천경제자유구역 송도국제도시 개발계획에 의하면, 송도국제도시는 인천광역시 연수구 송도동 7 일원에 전략적인 클러스터 개념을 도입해 첨단산업클러스터(5, 7, 11공구), 송도랜드마크시티(6, 8공구), 물류단지(9, 10공구) 등을 조성하여 기술, 인력, 기업, 금융, 물류 등이 집적할 수 있는 특구를 조성하는 것을 목 …</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지방자치법 제4조 제3항부터 제7항에서 행정안전부장관 및 소속 위원회의 매립지 관할 귀속에 관한 의결ㆍ결정의 실체적 결정기준이나 고려요소를 구체적으로 규정하지 않은 것이 헌법상 보장된 지방자치제도의 본질을 침해하거나 포괄위임금지원칙에 반하는지 여부(소극)</w:t>
      </w:r>
      <w:r>
        <w:rPr>
          <w:rFonts w:ascii="맑은 고딕" w:hAnsi="맑은 고딕" w:eastAsia="맑은 고딕" w:cs="맑은 고딕"/>
          <w:color w:val="000000"/>
        </w:rPr>
        <w:br/>
      </w:r>
      <w:r>
        <w:rPr>
          <w:rFonts w:ascii="맑은 고딕" w:hAnsi="맑은 고딕" w:eastAsia="맑은 고딕" w:cs="맑은 고딕"/>
          <w:color w:val="000000"/>
        </w:rPr>
        <w:t>[2] 행정안전부장관 및 소속 위원회가 매립지가 속할 지방자치단체를 정할 때 폭넓은 형성의 재량을 가지는지 여부(적극) 및 그 재량의 한계 / 행정안전부장관 및 소속 위원회가 매립지가 속할 지방자치단체를 결정할 때 고려할 사항</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헌법 제117조, 제118조 제1항, 제120조 제2항, 제122조, 제123조 제2항, 지방자치법 제4조 / [2] 지방자치법 제4조 제1항, 제3항, 행정소송법 제27조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#매립시설 #행정판례 #대법원판례 #2020년판례 #2016추5025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