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개발제한구역의지정및관리에관한특별조치법위반·폐기물관리법위반</w:t>
      </w:r>
    </w:p>
    <w:p>
      <w:pPr>
        <w:pStyle w:val="law1"/>
        <w:spacing w:after="160"/>
      </w:pPr>
      <w:r>
        <w:rPr>
          <w:rFonts w:ascii="맑은 고딕" w:hAnsi="맑은 고딕" w:eastAsia="맑은 고딕" w:cs="맑은 고딕"/>
          <w:color w:val="000000"/>
        </w:rPr>
        <w:t>대법원 2017도7321 (2017.09.21 선고) · 형사</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2017도7321</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2017.09.21</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형사</w:t>
            </w:r>
          </w:p>
        </w:tc>
      </w:tr>
    </w:tbl>
    <w:p/>
    <w:p/>
    <w:p>
      <w:pPr>
        <w:pStyle w:val="2"/>
        <w:spacing w:before="80"/>
      </w:pPr>
      <w:r>
        <w:rPr>
          <w:rFonts w:ascii="맑은 고딕" w:hAnsi="맑은 고딕" w:eastAsia="맑은 고딕" w:cs="맑은 고딕"/>
          <w:color w:val="000000"/>
        </w:rPr>
        <w:t>2. 쟁점</w:t>
      </w:r>
    </w:p>
    <w:p>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
    <w:p>
      <w:pPr>
        <w:pStyle w:val="2"/>
        <w:spacing w:before="80"/>
      </w:pPr>
      <w:r>
        <w:rPr>
          <w:rFonts w:ascii="맑은 고딕" w:hAnsi="맑은 고딕" w:eastAsia="맑은 고딕" w:cs="맑은 고딕"/>
          <w:color w:val="000000"/>
        </w:rPr>
        <w:t>3. 판단</w:t>
      </w:r>
    </w:p>
    <w:p>
      <w:r>
        <w:rPr>
          <w:rFonts w:ascii="맑은 고딕" w:hAnsi="맑은 고딕" w:eastAsia="맑은 고딕" w:cs="맑은 고딕"/>
          <w:color w:val="000000"/>
        </w:rPr>
        <w:t>원심의 판단에는 행정행위의 공정력과 선결문제, 개발제한구역법 제32조의 시정명령위반죄에 관한 법리를 오해하여 판결 결과에 영향을 미친 위법이 있다.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3. 피고인 1의 폐기물관리법위반죄에 관한 양형부당을 주장하는 상고이유에 대하여</w:t>
      </w:r>
      <w:r>
        <w:rPr>
          <w:rFonts w:ascii="맑은 고딕" w:hAnsi="맑은 고딕" w:eastAsia="맑은 고딕" w:cs="맑은 고딕"/>
          <w:color w:val="000000"/>
        </w:rPr>
        <w:br/>
      </w:r>
      <w:r>
        <w:rPr>
          <w:rFonts w:ascii="맑은 고딕" w:hAnsi="맑은 고딕" w:eastAsia="맑은 고딕" w:cs="맑은 고딕"/>
          <w:color w:val="000000"/>
        </w:rPr>
        <w:t>원심판결에 양형조건이 되는 정상에 관한 채증법칙위반의 위법이 있다는 취지의 주장은 결국 양형부당 주장에 해당한다.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4. 파기의 범위</w:t>
      </w:r>
      <w:r>
        <w:rPr>
          <w:rFonts w:ascii="맑은 고딕" w:hAnsi="맑은 고딕" w:eastAsia="맑은 고딕" w:cs="맑은 고딕"/>
          <w:color w:val="000000"/>
        </w:rPr>
        <w:br/>
      </w:r>
      <w:r>
        <w:rPr>
          <w:rFonts w:ascii="맑은 고딕" w:hAnsi="맑은 고딕" w:eastAsia="맑은 고딕" w:cs="맑은 고딕"/>
          <w:color w:val="000000"/>
        </w:rPr>
        <w:t>가. 피고인 1</w:t>
      </w:r>
      <w:r>
        <w:rPr>
          <w:rFonts w:ascii="맑은 고딕" w:hAnsi="맑은 고딕" w:eastAsia="맑은 고딕" w:cs="맑은 고딕"/>
          <w:color w:val="000000"/>
        </w:rPr>
        <w:br/>
      </w:r>
      <w:r>
        <w:rPr>
          <w:rFonts w:ascii="맑은 고딕" w:hAnsi="맑은 고딕" w:eastAsia="맑은 고딕" w:cs="맑은 고딕"/>
          <w:color w:val="000000"/>
        </w:rPr>
        <w:t>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나. 피고인 회사</w:t>
      </w:r>
      <w:r>
        <w:rPr>
          <w:rFonts w:ascii="맑은 고딕" w:hAnsi="맑은 고딕" w:eastAsia="맑은 고딕" w:cs="맑은 고딕"/>
          <w:color w:val="000000"/>
        </w:rPr>
        <w:br/>
      </w:r>
      <w:r>
        <w:rPr>
          <w:rFonts w:ascii="맑은 고딕" w:hAnsi="맑은 고딕" w:eastAsia="맑은 고딕" w:cs="맑은 고딕"/>
          <w:color w:val="000000"/>
        </w:rPr>
        <w:t>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5.</w:t>
      </w:r>
    </w:p>
    <w:p/>
    <w:p/>
    <w:p>
      <w:pPr>
        <w:pStyle w:val="2"/>
        <w:spacing w:before="80"/>
      </w:pPr>
      <w:r>
        <w:rPr>
          <w:rFonts w:ascii="맑은 고딕" w:hAnsi="맑은 고딕" w:eastAsia="맑은 고딕" w:cs="맑은 고딕"/>
          <w:color w:val="000000"/>
        </w:rPr>
        <w:t>4. 판결요지</w:t>
      </w:r>
    </w:p>
    <w:p>
      <w:r>
        <w:rPr>
          <w:rFonts w:ascii="맑은 고딕" w:hAnsi="맑은 고딕" w:eastAsia="맑은 고딕" w:cs="맑은 고딕"/>
          <w:color w:val="000000"/>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
    <w:p>
      <w:pPr>
        <w:pStyle w:val="2"/>
        <w:spacing w:before="80"/>
      </w:pPr>
      <w:r>
        <w:rPr>
          <w:rFonts w:ascii="맑은 고딕" w:hAnsi="맑은 고딕" w:eastAsia="맑은 고딕" w:cs="맑은 고딕"/>
          <w:color w:val="000000"/>
        </w:rPr>
        <w:t>5. 참조 조문</w:t>
      </w:r>
    </w:p>
    <w:p>
      <w:r>
        <w:rPr>
          <w:rFonts w:ascii="맑은 고딕" w:hAnsi="맑은 고딕" w:eastAsia="맑은 고딕" w:cs="맑은 고딕"/>
          <w:color w:val="000000"/>
        </w:rPr>
        <w:t>[1] 개발제한구역의 지정 및 관리에 관한 특별조치법 제30조 제1항, 제32조 제2호 / [2] 개발제한구역의 지정 및 관리에 관한 특별조치법 제30조 제1항, 제32조 제2호, 제33조, 행정절차법 제21조, 제22조, 형사소송법 제325조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