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상해·재물손괴·건설폐기물의재활용촉진에관한법률위반</w:t>
      </w:r>
    </w:p>
    <w:p>
      <w:pPr>
        <w:pStyle w:val="law1"/>
        <w:spacing w:after="160"/>
      </w:pPr>
      <w:r>
        <w:rPr>
          <w:rFonts w:ascii="맑은 고딕" w:hAnsi="맑은 고딕" w:eastAsia="맑은 고딕" w:cs="맑은 고딕"/>
          <w:color w:val="000000"/>
        </w:rPr>
        <w:t>대법원 2018도11244 (2018.10.12 선고) · 형사</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2018도11244</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2018.10.12</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형사</w:t>
            </w:r>
          </w:p>
        </w:tc>
      </w:tr>
    </w:tbl>
    <w:p/>
    <w:p/>
    <w:p>
      <w:pPr>
        <w:pStyle w:val="2"/>
        <w:spacing w:before="80"/>
      </w:pPr>
      <w:r>
        <w:rPr>
          <w:rFonts w:ascii="맑은 고딕" w:hAnsi="맑은 고딕" w:eastAsia="맑은 고딕" w:cs="맑은 고딕"/>
          <w:color w:val="000000"/>
        </w:rPr>
        <w:t>2. 판단</w:t>
      </w:r>
    </w:p>
    <w:p>
      <w:r>
        <w:rPr>
          <w:rFonts w:ascii="맑은 고딕" w:hAnsi="맑은 고딕" w:eastAsia="맑은 고딕" w:cs="맑은 고딕"/>
          <w:color w:val="000000"/>
        </w:rPr>
        <w:t>판단한다.</w:t>
      </w:r>
      <w:r>
        <w:rPr>
          <w:rFonts w:ascii="맑은 고딕" w:hAnsi="맑은 고딕" w:eastAsia="맑은 고딕" w:cs="맑은 고딕"/>
          <w:color w:val="000000"/>
        </w:rPr>
        <w:br/>
      </w:r>
      <w:r>
        <w:rPr>
          <w:rFonts w:ascii="맑은 고딕" w:hAnsi="맑은 고딕" w:eastAsia="맑은 고딕" w:cs="맑은 고딕"/>
          <w:color w:val="000000"/>
        </w:rPr>
        <w:t>형법 제37조 후단, 제39조 제1항의 문언과 입법 취지 등에 비추어 보면, 아직 판결을 받지 않은 죄가 이미 판결이 확정된 죄와 동시에 판결할 수 없었던 경우에는 형법 제39조 제1항에 따라 동시에 판결할 경우와 형평을 고려하여 형을 선고하거나 그 형을 감경 또는 면제할 수 없다고 해석함이 타당하다(대법원 2011. 10. 27. 선고 2009도9948 판결 등 참조).</w:t>
      </w:r>
      <w:r>
        <w:rPr>
          <w:rFonts w:ascii="맑은 고딕" w:hAnsi="맑은 고딕" w:eastAsia="맑은 고딕" w:cs="맑은 고딕"/>
          <w:color w:val="000000"/>
        </w:rPr>
        <w:br/>
      </w:r>
      <w:r>
        <w:rPr>
          <w:rFonts w:ascii="맑은 고딕" w:hAnsi="맑은 고딕" w:eastAsia="맑은 고딕" w:cs="맑은 고딕"/>
          <w:color w:val="000000"/>
        </w:rPr>
        <w:t>원심판결 이유와 기록에 따르면 다음 사실을 알 수 있다.</w:t>
      </w:r>
      <w:r>
        <w:rPr>
          <w:rFonts w:ascii="맑은 고딕" w:hAnsi="맑은 고딕" w:eastAsia="맑은 고딕" w:cs="맑은 고딕"/>
          <w:color w:val="000000"/>
        </w:rPr>
        <w:br/>
      </w:r>
      <w:r>
        <w:rPr>
          <w:rFonts w:ascii="맑은 고딕" w:hAnsi="맑은 고딕" w:eastAsia="맑은 고딕" w:cs="맑은 고딕"/>
          <w:color w:val="000000"/>
        </w:rPr>
        <w:t>피고인은 2017. 6. 27. 대구지방법원 상주지원에서 건설폐기물의 재활용촉진에 관한 법률 위반죄로 징역 6개월, 집행유예 2년을 선고받아 2017. 7. 5. 그 판결이 확정되었다(이하 ‘제1 전과’라 한다). 피고인은 2017. 10. 24. 대구지방법원 상주지원에서 상해죄로 징역 4개월, 집행유예 1년을 선고받아 2017. 11. 1. 그 판결이 확정되었다(이하 ‘제2 전과’라 한다). 제2 전과의 죄는 제1 전과의 판결 확정 전에 저질러진 범행으로 제1 전과의 죄와 동시에 판결할 경우와 형평을 고려해야 한다는 이유로 형법 제37조 후단, 제39조 제1항을 적용해서 형이 선고되었다.</w:t>
      </w:r>
      <w:r>
        <w:rPr>
          <w:rFonts w:ascii="맑은 고딕" w:hAnsi="맑은 고딕" w:eastAsia="맑은 고딕" w:cs="맑은 고딕"/>
          <w:color w:val="000000"/>
        </w:rPr>
        <w:br/>
      </w:r>
      <w:r>
        <w:rPr>
          <w:rFonts w:ascii="맑은 고딕" w:hAnsi="맑은 고딕" w:eastAsia="맑은 고딕" w:cs="맑은 고딕"/>
          <w:color w:val="000000"/>
        </w:rPr>
        <w:t>그런데 기록에 따르면, 원심이 유죄로 인정한 이 사건 범죄는 모두 제1 전과의 판결 확정 후에 저질러진 것으로, 제1 전과의 판결 확정 이전에 저질러진 제2 전과의 죄와는 처음부터 동시에 판결할 수 없었던 경우에 해당하여 형법 제39조 제1항에 따라 제2 전과의 죄와 동시에 판결할 경우와 형평을 고려하여 형을 선고하거나 그 형을 감경하거나 면제할 수 없다고 보아야 한다.</w:t>
      </w:r>
      <w:r>
        <w:rPr>
          <w:rFonts w:ascii="맑은 고딕" w:hAnsi="맑은 고딕" w:eastAsia="맑은 고딕" w:cs="맑은 고딕"/>
          <w:color w:val="000000"/>
        </w:rPr>
        <w:br/>
      </w:r>
      <w:r>
        <w:rPr>
          <w:rFonts w:ascii="맑은 고딕" w:hAnsi="맑은 고딕" w:eastAsia="맑은 고딕" w:cs="맑은 고딕"/>
          <w:color w:val="000000"/>
        </w:rPr>
        <w:t>따라서 원심이 이 사건 범죄에 대하여 제2 전과의 죄를 고려하지 않고 피고인에 대한 형을 정한 조치는 정당하다. 이러한 조치에 형법 제37조 후단, 제39조 제1항의 적용에 관한 법리를 오해한 잘못이 없다.</w:t>
      </w:r>
      <w:r>
        <w:rPr>
          <w:rFonts w:ascii="맑은 고딕" w:hAnsi="맑은 고딕" w:eastAsia="맑은 고딕" w:cs="맑은 고딕"/>
          <w:color w:val="000000"/>
        </w:rPr>
        <w:br/>
      </w:r>
      <w:r>
        <w:rPr>
          <w:rFonts w:ascii="맑은 고딕" w:hAnsi="맑은 고딕" w:eastAsia="맑은 고딕" w:cs="맑은 고딕"/>
          <w:color w:val="000000"/>
        </w:rPr>
        <w:t>피고인의 상고는 이유 없으므로 이를 기각하기로 하여, 대법관의 일치된 의견으로</w:t>
      </w:r>
    </w:p>
    <w:p/>
    <w:p/>
    <w:p>
      <w:pPr>
        <w:pStyle w:val="2"/>
        <w:spacing w:before="80"/>
      </w:pPr>
      <w:r>
        <w:rPr>
          <w:rFonts w:ascii="맑은 고딕" w:hAnsi="맑은 고딕" w:eastAsia="맑은 고딕" w:cs="맑은 고딕"/>
          <w:color w:val="000000"/>
        </w:rPr>
        <w:t>3. 판결요지</w:t>
      </w:r>
    </w:p>
    <w:p>
      <w:r>
        <w:rPr>
          <w:rFonts w:ascii="맑은 고딕" w:hAnsi="맑은 고딕" w:eastAsia="맑은 고딕" w:cs="맑은 고딕"/>
          <w:color w:val="000000"/>
        </w:rPr>
        <w:t>아직 판결을 받지 않은 죄가 이미 판결이 확정된 죄와 동시에 판결할 수 없었던 경우, 형법 제39조 제1항에 따라 동시에 판결할 경우와 형평을 고려하여 형을 선고하거나 형을 감경 또는 면제할 수 있는지 여부(소극)</w:t>
      </w:r>
    </w:p>
    <w:p/>
    <w:p/>
    <w:p>
      <w:pPr>
        <w:pStyle w:val="2"/>
        <w:spacing w:before="80"/>
      </w:pPr>
      <w:r>
        <w:rPr>
          <w:rFonts w:ascii="맑은 고딕" w:hAnsi="맑은 고딕" w:eastAsia="맑은 고딕" w:cs="맑은 고딕"/>
          <w:color w:val="000000"/>
        </w:rPr>
        <w:t>4. 참조 조문</w:t>
      </w:r>
    </w:p>
    <w:p>
      <w:r>
        <w:rPr>
          <w:rFonts w:ascii="맑은 고딕" w:hAnsi="맑은 고딕" w:eastAsia="맑은 고딕" w:cs="맑은 고딕"/>
          <w:color w:val="000000"/>
        </w:rPr>
        <w:t>형법 제37조, 제39조 제1항</w:t>
      </w:r>
    </w:p>
    <w:p>
      <w:pPr>
        <w:pStyle w:val="note"/>
        <w:spacing w:before="120"/>
      </w:pPr>
      <w:r>
        <w:rPr>
          <w:rFonts w:ascii="맑은 고딕" w:hAnsi="맑은 고딕" w:eastAsia="맑은 고딕" w:cs="맑은 고딕"/>
          <w:color w:val="000000"/>
        </w:rPr>
        <w:t>※ 본 정리는 국가법령정보센터 판례를 요약·정리한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#폐기물판례 #폐기물재활용 #건설폐기물 #형사판례 #대법원판례 #2018년판례 #2018도11244 #환경법 #환경인허가 #인허가서대리 #서대리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