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w:t>
      </w:r>
    </w:p>
    <w:p>
      <w:pPr>
        <w:pStyle w:val="law1"/>
        <w:spacing w:after="160"/>
      </w:pPr>
      <w:r>
        <w:rPr>
          <w:rFonts w:ascii="맑은 고딕" w:hAnsi="맑은 고딕" w:eastAsia="맑은 고딕" w:cs="맑은 고딕"/>
          <w:color w:val="000000"/>
        </w:rPr>
        <w:t>대법원 2019도1118 (2020.05.14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2019도1118</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2020.05.14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가.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나.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 이 점을 지적하는 검사의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3.</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폐기물관리법 제25조 제9항 제1호, 제66조 제9호, 폐기물관리법 시행령 제7조 제1항 제6호, 폐기물관리법 시행규칙 제28조 제4항, 제30조의2</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