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폐기물관리법위반·국가기술자격법위반·사기</w:t>
      </w:r>
    </w:p>
    <w:p>
      <w:pPr>
        <w:pStyle w:val="law1"/>
        <w:spacing w:after="160"/>
      </w:pPr>
      <w:r>
        <w:rPr>
          <w:rFonts w:ascii="맑은 고딕" w:hAnsi="맑은 고딕" w:eastAsia="맑은 고딕" w:cs="맑은 고딕"/>
          <w:color w:val="000000"/>
        </w:rPr>
        <w:t>대법원 2019도3653 (2019.08.14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2019도3653</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2019.08.14</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쟁점</w:t>
      </w:r>
    </w:p>
    <w:p>
      <w:r>
        <w:rPr>
          <w:rFonts w:ascii="맑은 고딕" w:hAnsi="맑은 고딕" w:eastAsia="맑은 고딕" w:cs="맑은 고딕"/>
          <w:color w:val="000000"/>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t>2. 피고인의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가. 거짓이나 그 밖의 부정한 방법으로 폐기물처리업 허가를 받은 행위로 인한 폐기물관리법 위반의 점에 관하여</w:t>
      </w:r>
      <w:r>
        <w:rPr>
          <w:rFonts w:ascii="맑은 고딕" w:hAnsi="맑은 고딕" w:eastAsia="맑은 고딕" w:cs="맑은 고딕"/>
          <w:color w:val="000000"/>
        </w:rPr>
        <w:br/>
      </w:r>
      <w:r>
        <w:rPr>
          <w:rFonts w:ascii="맑은 고딕" w:hAnsi="맑은 고딕" w:eastAsia="맑은 고딕" w:cs="맑은 고딕"/>
          <w:color w:val="000000"/>
        </w:rPr>
        <w:t>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w:t>
      </w:r>
      <w:r>
        <w:rPr>
          <w:rFonts w:ascii="맑은 고딕" w:hAnsi="맑은 고딕" w:eastAsia="맑은 고딕" w:cs="맑은 고딕"/>
          <w:color w:val="000000"/>
        </w:rPr>
        <w:br/>
      </w:r>
      <w:r>
        <w:rPr>
          <w:rFonts w:ascii="맑은 고딕" w:hAnsi="맑은 고딕" w:eastAsia="맑은 고딕" w:cs="맑은 고딕"/>
          <w:color w:val="000000"/>
        </w:rPr>
        <w:t>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 원심의 판단에는 폐기물관리법 제64조 제6호의 해석에 관한 법리를 오해하여 판결에 영향을 미친 잘못이 있다.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나. 나머지 상고이유에 관하여</w:t>
      </w:r>
      <w:r>
        <w:rPr>
          <w:rFonts w:ascii="맑은 고딕" w:hAnsi="맑은 고딕" w:eastAsia="맑은 고딕" w:cs="맑은 고딕"/>
          <w:color w:val="000000"/>
        </w:rPr>
        <w:br/>
      </w:r>
      <w:r>
        <w:rPr>
          <w:rFonts w:ascii="맑은 고딕" w:hAnsi="맑은 고딕" w:eastAsia="맑은 고딕" w:cs="맑은 고딕"/>
          <w:color w:val="000000"/>
        </w:rPr>
        <w:t>원심은 그 판시와 같은 이유를 들어 피고인에 대한 공소사실 중 국가기술자격법 위반의 점, 지정된 장소 이외의 곳에 사업장폐기물을 버린 행위로 인한 폐기물관리법 위반의 점을 유죄로 판단하였다.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t>3. 파기의 범위</w:t>
      </w:r>
      <w:r>
        <w:rPr>
          <w:rFonts w:ascii="맑은 고딕" w:hAnsi="맑은 고딕" w:eastAsia="맑은 고딕" w:cs="맑은 고딕"/>
          <w:color w:val="000000"/>
        </w:rPr>
        <w:br/>
      </w:r>
      <w:r>
        <w:rPr>
          <w:rFonts w:ascii="맑은 고딕" w:hAnsi="맑은 고딕" w:eastAsia="맑은 고딕" w:cs="맑은 고딕"/>
          <w:color w:val="000000"/>
        </w:rPr>
        <w:t>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r>
        <w:rPr>
          <w:rFonts w:ascii="맑은 고딕" w:hAnsi="맑은 고딕" w:eastAsia="맑은 고딕" w:cs="맑은 고딕"/>
          <w:color w:val="000000"/>
        </w:rPr>
        <w:br/>
      </w:r>
      <w:r>
        <w:rPr>
          <w:rFonts w:ascii="맑은 고딕" w:hAnsi="맑은 고딕" w:eastAsia="맑은 고딕" w:cs="맑은 고딕"/>
          <w:color w:val="000000"/>
        </w:rPr>
        <w:t>4.</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color w:val="000000"/>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[1] 폐기물관리법 제25조 제3항, 제64조 제6호 / [2] 폐기물관리법 제25조 제3항, 제64조 제6호, 형사소송법 제325조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