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폐기물처리종합재활용업사업계획서부적합통보처분취소</w:t>
      </w:r>
    </w:p>
    <w:p>
      <w:pPr>
        <w:pStyle w:val="law1"/>
        <w:spacing w:after="160"/>
      </w:pPr>
      <w:r>
        <w:rPr>
          <w:rFonts w:ascii="맑은 고딕" w:hAnsi="맑은 고딕" w:eastAsia="맑은 고딕" w:cs="맑은 고딕"/>
          <w:color w:val="000000"/>
        </w:rPr>
        <w:t>대법원 2019두45579 (2019.12.24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2019두45579</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2019.12.24</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쟁점</w:t>
      </w:r>
    </w:p>
    <w:p>
      <w:r>
        <w:rPr>
          <w:rFonts w:ascii="맑은 고딕" w:hAnsi="맑은 고딕" w:eastAsia="맑은 고딕" w:cs="맑은 고딕"/>
          <w:color w:val="000000"/>
        </w:rPr>
        <w:t>[1] 행정청이 폐기물처리사업계획서의 적합 여부를 판단하는 방법 및 폐기물처리사업계획서의 적합 여부 판단에 관하여 행정청에 광범위한 재량권이 인정되는지 여부(적극) / 법원이 폐기물처리사업계획서의 적합 여부 결정과 관련한 행정청의 재량권 일탈·남용 여부를 심사하는 방법</w:t>
      </w:r>
      <w:r>
        <w:rPr>
          <w:rFonts w:ascii="맑은 고딕" w:hAnsi="맑은 고딕" w:eastAsia="맑은 고딕" w:cs="맑은 고딕"/>
          <w:color w:val="000000"/>
        </w:rPr>
        <w:br/>
      </w:r>
      <w:r>
        <w:rPr>
          <w:rFonts w:ascii="맑은 고딕" w:hAnsi="맑은 고딕" w:eastAsia="맑은 고딕" w:cs="맑은 고딕"/>
          <w:color w:val="000000"/>
        </w:rPr>
        <w:t>[2] 행정청이 처분서에 불확정개념으로 규정된 법령상의 허가기준 등을 충족하지 못하였다는 취지만 간략히 기재하여 폐기물처리사업계획서 부적합 통보를 한 경우, 부적합 통보에 대한 취소소송절차에서 행정청은 구체적 불허가사유를 분명히 하여야 하고, 원고는 행정청이 제시한 구체적인 불허가사유에 관한 판단과 근거에 재량권 일탈·남용의 위법이 있음을 밝히기 위해 추가적인 주장 및 자료를 제출할 필요가 있는지 여부(적극)</w:t>
      </w:r>
    </w:p>
    <w:p/>
    <w:p/>
    <w:p>
      <w:pPr>
        <w:pStyle w:val="2"/>
        <w:spacing w:before="80"/>
      </w:pPr>
      <w:r>
        <w:rPr>
          <w:rFonts w:ascii="맑은 고딕" w:hAnsi="맑은 고딕" w:eastAsia="맑은 고딕" w:cs="맑은 고딕"/>
          <w:color w:val="000000"/>
        </w:rPr>
        <w:t>3. 판단</w:t>
      </w:r>
    </w:p>
    <w:p>
      <w:r>
        <w:rPr>
          <w:rFonts w:ascii="맑은 고딕" w:hAnsi="맑은 고딕" w:eastAsia="맑은 고딕" w:cs="맑은 고딕"/>
          <w:color w:val="000000"/>
        </w:rPr>
        <w:t>원심의 판단은 그대로 받아들이기 어렵다.</w:t>
      </w:r>
      <w:r>
        <w:rPr>
          <w:rFonts w:ascii="맑은 고딕" w:hAnsi="맑은 고딕" w:eastAsia="맑은 고딕" w:cs="맑은 고딕"/>
          <w:color w:val="000000"/>
        </w:rPr>
        <w:br/>
      </w:r>
      <w:r>
        <w:rPr>
          <w:rFonts w:ascii="맑은 고딕" w:hAnsi="맑은 고딕" w:eastAsia="맑은 고딕" w:cs="맑은 고딕"/>
          <w:color w:val="000000"/>
        </w:rPr>
        <w:t>가. 이 사건 사업예정지로부터 가까운 거리에 집단거주지역이 위치하고 있다. 원고가 이 사건 사업예정지에 설치·운영하고자 하는 폐기물처리시설의 규모, 폐기물처리업의 공정 등을 살펴보면, 폐기물 수집·운반 과정 및 폐기물 분쇄 등의 공정에서 발생하는 비산먼지나 그 밖의 오염물질이 인근 주민의 생활환경에 참을 한도를 넘는 나쁜 영향을 줄 우려가 있다고 볼 여지가 있다.</w:t>
      </w:r>
      <w:r>
        <w:rPr>
          <w:rFonts w:ascii="맑은 고딕" w:hAnsi="맑은 고딕" w:eastAsia="맑은 고딕" w:cs="맑은 고딕"/>
          <w:color w:val="000000"/>
        </w:rPr>
        <w:br/>
      </w:r>
      <w:r>
        <w:rPr>
          <w:rFonts w:ascii="맑은 고딕" w:hAnsi="맑은 고딕" w:eastAsia="맑은 고딕" w:cs="맑은 고딕"/>
          <w:color w:val="000000"/>
        </w:rPr>
        <w:t>나. 특히 이 사건 사업예정지에서 발생한 비산먼지는 이 사건 사업예정지가 연접하고 있는 국도 □□호선을 따라 인근 집단거주지역까지 쉽게 확산될 가능성이 높아 보이기 때문에, 이 사건 사업예정지에서의 사업 영위로 인하여 발생하는 비산먼지 등으로 인한 생활환경 침해의 정도를 간과할 수 있는 사항은 아닌 것으로 보인다.</w:t>
      </w:r>
      <w:r>
        <w:rPr>
          <w:rFonts w:ascii="맑은 고딕" w:hAnsi="맑은 고딕" w:eastAsia="맑은 고딕" w:cs="맑은 고딕"/>
          <w:color w:val="000000"/>
        </w:rPr>
        <w:br/>
      </w:r>
      <w:r>
        <w:rPr>
          <w:rFonts w:ascii="맑은 고딕" w:hAnsi="맑은 고딕" w:eastAsia="맑은 고딕" w:cs="맑은 고딕"/>
          <w:color w:val="000000"/>
        </w:rPr>
        <w:t>다. 이 사건 사업예정지 북쪽 약 100m 지점에는 인근 집단거주지역 방향으로 흐르는 하천이 위치하고 있고, 위 하천이 인근 주민들의 농업용수와 식수로 사용될 가능성이 있어 보인다. 원고가 이 사건 사업예정지 내부에 정화 수조를 설치할 것이라는 계획만으로 하천 수질오염 발생 우려가 완전히 사라졌다고 단정하기는 어렵다.</w:t>
      </w:r>
      <w:r>
        <w:rPr>
          <w:rFonts w:ascii="맑은 고딕" w:hAnsi="맑은 고딕" w:eastAsia="맑은 고딕" w:cs="맑은 고딕"/>
          <w:color w:val="000000"/>
        </w:rPr>
        <w:br/>
      </w:r>
      <w:r>
        <w:rPr>
          <w:rFonts w:ascii="맑은 고딕" w:hAnsi="맑은 고딕" w:eastAsia="맑은 고딕" w:cs="맑은 고딕"/>
          <w:color w:val="000000"/>
        </w:rPr>
        <w:t>라. 원고가 제출한 사업계획서에 의하면, 이 사건 사업예정지로 매일 60t의 사업용 폐기물을 운반하고, 이 사건 사업예정지에서 매일 53t의 재활용품을 출하할 예정이다. 폐기물 운반 및 재활용품 출하를 위하여 대형 트럭이 빈번하게 출입하는 상황은 인근 지역의 교통 위험을 증가시키는 요인이 될 수 있다.</w:t>
      </w:r>
      <w:r>
        <w:rPr>
          <w:rFonts w:ascii="맑은 고딕" w:hAnsi="맑은 고딕" w:eastAsia="맑은 고딕" w:cs="맑은 고딕"/>
          <w:color w:val="000000"/>
        </w:rPr>
        <w:br/>
      </w:r>
      <w:r>
        <w:rPr>
          <w:rFonts w:ascii="맑은 고딕" w:hAnsi="맑은 고딕" w:eastAsia="맑은 고딕" w:cs="맑은 고딕"/>
          <w:color w:val="000000"/>
        </w:rPr>
        <w:t>마. 환경이 오염되면 원상회복이 거의 불가능한 경우가 많아 사후적 규제만으로 환경오염으로 인한 피해를 회복하는 데 한계가 있다. 환경이 심각하게 오염될 우려가 있는 경우에는 이를 미리 방지하는 것이 중요하다. 따라서 ‘환경기준의 유지가 곤란하게 되는 등 사람의 건강이나 주변 환경에 영향을 미치는 우려’를 처분사유로 하는 이 사건 처분에 비례의 원칙 위반 등 재량권을 일탈·남용한 위법이 있다고 단정하기 어렵다.</w:t>
      </w:r>
      <w:r>
        <w:rPr>
          <w:rFonts w:ascii="맑은 고딕" w:hAnsi="맑은 고딕" w:eastAsia="맑은 고딕" w:cs="맑은 고딕"/>
          <w:color w:val="000000"/>
        </w:rPr>
        <w:br/>
      </w:r>
      <w:r>
        <w:rPr>
          <w:rFonts w:ascii="맑은 고딕" w:hAnsi="맑은 고딕" w:eastAsia="맑은 고딕" w:cs="맑은 고딕"/>
          <w:color w:val="000000"/>
        </w:rPr>
        <w:t>바. 그렇다면 원심으로서는 단순히 피고가 비산먼지, 수질오염, 인근 집단거주지역 주거환경에의 악영향 우려를 인정할 객관적인 자료를 제시하지 못하고 있다는 이유로 피고의 판단에 재량권 일탈·남용의 위법이 있다고 단정할 것이 아니라, 원고로 하여금 피고의 판단의 위법성과 관련한 주장 및 자료를 추가로 제출하게 하여 이를 심리하였어야 한다.</w:t>
      </w:r>
      <w:r>
        <w:rPr>
          <w:rFonts w:ascii="맑은 고딕" w:hAnsi="맑은 고딕" w:eastAsia="맑은 고딕" w:cs="맑은 고딕"/>
          <w:color w:val="000000"/>
        </w:rPr>
        <w:br/>
      </w:r>
      <w:r>
        <w:rPr>
          <w:rFonts w:ascii="맑은 고딕" w:hAnsi="맑은 고딕" w:eastAsia="맑은 고딕" w:cs="맑은 고딕"/>
          <w:color w:val="000000"/>
        </w:rPr>
        <w:t>사. 그런데도 원심은 그에 관한 심리를 더 하지 않고, 곧바로 이 사건 처분에 재량권을 일탈·남용한 위법이 있다고 판단하였다. 이러한 원심판단에는 폐기물관리법상 폐기물처리사업계획서 적합 여부 통보 등에 관한 법리를 오해하여 필요한 심리를 다하지 않음으로써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t>4.</w:t>
      </w:r>
    </w:p>
    <w:p/>
    <w:p/>
    <w:p>
      <w:pPr>
        <w:pStyle w:val="2"/>
        <w:spacing w:before="80"/>
      </w:pPr>
      <w:r>
        <w:rPr>
          <w:rFonts w:ascii="맑은 고딕" w:hAnsi="맑은 고딕" w:eastAsia="맑은 고딕" w:cs="맑은 고딕"/>
          <w:color w:val="000000"/>
        </w:rPr>
        <w:t>4. 판결요지</w:t>
      </w:r>
    </w:p>
    <w:p>
      <w:r>
        <w:rPr>
          <w:rFonts w:ascii="맑은 고딕" w:hAnsi="맑은 고딕" w:eastAsia="맑은 고딕" w:cs="맑은 고딕"/>
          <w:color w:val="000000"/>
        </w:rPr>
        <w:t>[1] 폐기물관리법 제1조, 제25조 제1항, 제2항 제4호, 환경정책기본법 제12조 제1항, 제13조, 제3조 제1호의 내용과 체계, 입법 취지에 비추어 보면, 행정청은 사람의 건강이나 주변 환경에 영향을 미치는지 여부 등 생활환경과 자연환경에 미치는 영향을 두루 검토하여 폐기물처리사업계획서의 적합 여부를 판단할 수 있으며, 이에 관해서는 행정청에 광범위한 재량권이 인정된다.</w:t>
      </w:r>
      <w:r>
        <w:rPr>
          <w:rFonts w:ascii="맑은 고딕" w:hAnsi="맑은 고딕" w:eastAsia="맑은 고딕" w:cs="맑은 고딕"/>
          <w:color w:val="000000"/>
        </w:rPr>
        <w:br/>
      </w:r>
      <w:r>
        <w:rPr>
          <w:rFonts w:ascii="맑은 고딕" w:hAnsi="맑은 고딕" w:eastAsia="맑은 고딕" w:cs="맑은 고딕"/>
          <w:color w:val="000000"/>
        </w:rPr>
        <w:t xml:space="preserve">  따라서 법원이 적합 여부 결정과 관련한 행정청의 재량권 일탈·남용 여부를 심사할 때에는 해당 지역의 자연환경, 주민들의 생활환경 등 구체적 지역 상황, 상반되는 이익을 가진 이해관계자들 사이의 권익 균형과 환경권의 보호에 관한 각종 규정의 입법 취지 등을 종합하여 신중하게 판단하여야 한다. ‘자연환경·생활환경에 미치는 영향’과 같이 장래에 발생할 불확실한 상황과 파급효과에 대한 예측이 필요한 요건에 관한 행정청의 재량적 판단은 그 내용이 현저히 합리적이지 않다거나 상반되는 이익이나 가치를 대비해 볼 때 형평이나 비례의 원칙에 뚜렷하게 배치되는 등의 사정이 없는 한 폭넓게 존중될 필요가 있다.</w:t>
      </w:r>
      <w:r>
        <w:rPr>
          <w:rFonts w:ascii="맑은 고딕" w:hAnsi="맑은 고딕" w:eastAsia="맑은 고딕" w:cs="맑은 고딕"/>
          <w:color w:val="000000"/>
        </w:rPr>
        <w:br/>
      </w:r>
      <w:r>
        <w:rPr>
          <w:rFonts w:ascii="맑은 고딕" w:hAnsi="맑은 고딕" w:eastAsia="맑은 고딕" w:cs="맑은 고딕"/>
          <w:color w:val="000000"/>
        </w:rPr>
        <w:t>[2] 행정청이 폐기물처리사업계획서 부적합 통보를 하면서 처분서에 불확정개념으로 규정된 법령상의 허가기준 등을 충족하지 못하였다는 취지만을 간략히 기재하였다면, 부적합 통보에 대한 취소소송절차에서 행정청은 그 처분을 하게 된 판단 근거나 자료 등을 제시하여 구체적 불허가사유를 분명히 하여야 한다. 이러한 경우 재량행위인 폐기물처리사업계획서 부적합 통보의 효력을 다투는 원고로서는 행정청이 제시한 구체적인 불허가사유에 관한 판단과 근거에 재량권 일탈·남용의 위법이 있음을 밝히기 위하여 소송절차에서 추가적인 주장을 하고 자료를 제출할 필요가 있다.</w:t>
      </w:r>
    </w:p>
    <w:p/>
    <w:p/>
    <w:p>
      <w:pPr>
        <w:pStyle w:val="2"/>
        <w:spacing w:before="80"/>
      </w:pPr>
      <w:r>
        <w:rPr>
          <w:rFonts w:ascii="맑은 고딕" w:hAnsi="맑은 고딕" w:eastAsia="맑은 고딕" w:cs="맑은 고딕"/>
          <w:color w:val="000000"/>
        </w:rPr>
        <w:t>5. 참조 조문</w:t>
      </w:r>
    </w:p>
    <w:p>
      <w:r>
        <w:rPr>
          <w:rFonts w:ascii="맑은 고딕" w:hAnsi="맑은 고딕" w:eastAsia="맑은 고딕" w:cs="맑은 고딕"/>
          <w:color w:val="000000"/>
        </w:rPr>
        <w:t>[1] 폐기물관리법 제1조, 제25조 제1항, 제2항 제4호, 환경정책기본법 제3조 제1호, 제12조 제1항, 제13조 / [2] 폐기물관리법 제25조 제1항, 행정소송법 제26조[증명책임]</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#폐기물재활용 #폐기물처리사업계획서 #부적합통보 #종합재활용업 #행정판례 #대법원판례 #2019년판례 #2019두45579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