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수도권대기환경개선에관한특별법위반ㆍ폐기물관리법위반ㆍ대기환경보전법위반ㆍ잔류성유기오염물질관리법위반ㆍ위계공무집행방해ㆍ증거인멸교사ㆍ증거인멸ㆍ환경영향평가법위반</w:t>
      </w:r>
    </w:p>
    <w:p>
      <w:pPr>
        <w:pStyle w:val="law1"/>
        <w:spacing w:after="160"/>
      </w:pPr>
      <w:r>
        <w:rPr>
          <w:rFonts w:ascii="맑은 고딕" w:hAnsi="맑은 고딕" w:eastAsia="맑은 고딕" w:cs="맑은 고딕"/>
          <w:color w:val="000000"/>
        </w:rPr>
        <w:t>대법원 2020도13266 (2021.02.25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2020도13266</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2021.02.25</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판단</w:t>
      </w:r>
    </w:p>
    <w:p>
      <w:r>
        <w:rPr>
          <w:rFonts w:ascii="맑은 고딕" w:hAnsi="맑은 고딕" w:eastAsia="맑은 고딕" w:cs="맑은 고딕"/>
          <w:color w:val="000000"/>
        </w:rPr>
        <w:t>원심의 판단은 정당하다고 보기 어렵다.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t>(나) 이는 배출시설 설치 허가사항 중 ‘중요한 사항’을 변경하는 경우에만 허가를 받도록 하는 대기환경보전법 제23조 제2항과 내용 및 형식을 달리한다.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t>(다)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t>(4) 따라서 원심의 이 부분 공소사실에 대한 위와 같은 판단은 잘못이다.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구 수도권 대기환경개선에 관한 특별법(2019. 4. 2. 법률 제16305호 대기관리권역의 대기환경개선에 관한 특별법 부칙 제2조로 폐지) 제14조 제1항(현행 대기관리권역의 대기환경개선에 관한 특별법 제15조 제1항 참조), 제20조 제1항(현행 대기관리권역의 대기환경개선에 관한 특별법 제22조 제1항 참조), 구 수도권 대기환경개선에 관한 특별법 시행규칙(2000. 4. 2. 환경부령 제857호 대기관리권역의 대기환경개선에 관한 특별법 시행규칙 부칙 제2조로 폐지) 제8조 제1항 [별지 제1호 서식](현행 대기관리권역의 대기환경개선에 관한 특별법 시행규칙 제8조 제1항 [별지 제1호 서식] 참조), 제2항 [별지 제2호 서식](현행 대기관리권역의 대기환경개선에 관한 특별법 시행규칙 제8조 제3항 [별지 제2호 서식] 참조)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