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spacing w:after="60"/>
      </w:pPr>
      <w:r>
        <w:rPr>
          <w:rFonts w:ascii="맑은 고딕" w:hAnsi="맑은 고딕" w:eastAsia="맑은 고딕" w:cs="맑은 고딕"/>
          <w:b/>
          <w:color w:val="000000"/>
          <w:sz w:val="30"/>
        </w:rPr>
        <w:t>폐기물의국가간이동및그처리에관한법률위반ㆍ관세법위반ㆍ폐기물관리법위반ㆍ건설폐기물의재활용촉진에관한법률위반</w:t>
      </w:r>
    </w:p>
    <w:p>
      <w:pPr>
        <w:pStyle w:val="law1"/>
        <w:spacing w:after="160"/>
      </w:pPr>
      <w:r>
        <w:rPr>
          <w:rFonts w:ascii="맑은 고딕" w:hAnsi="맑은 고딕" w:eastAsia="맑은 고딕" w:cs="맑은 고딕"/>
          <w:color w:val="000000"/>
        </w:rPr>
        <w:t>대법원 2020도7929 (2020.09.03 선고) · 형사</w:t>
      </w:r>
    </w:p>
    <w:p/>
    <w:p/>
    <w:p>
      <w:pPr>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r/>
            <w:r>
              <w:rPr>
                <w:rFonts w:ascii="맑은 고딕" w:hAnsi="맑은 고딕" w:eastAsia="맑은 고딕" w:cs="맑은 고딕"/>
                <w:b/>
                <w:color w:val="000000"/>
                <w:sz w:val="19"/>
              </w:rPr>
              <w:t>사건번호</w:t>
            </w:r>
          </w:p>
        </w:tc>
        <w:tc>
          <w:tcPr>
            <w:tcW w:type="pct" w:w="3800"/>
          </w:tcPr>
          <w:p>
            <w:r/>
            <w:r>
              <w:rPr>
                <w:rFonts w:ascii="맑은 고딕" w:hAnsi="맑은 고딕" w:eastAsia="맑은 고딕" w:cs="맑은 고딕"/>
                <w:b w:val="0"/>
                <w:color w:val="000000"/>
                <w:sz w:val="19"/>
              </w:rPr>
              <w:t>2020도7929</w:t>
            </w:r>
          </w:p>
        </w:tc>
      </w:tr>
      <w:tr>
        <w:tc>
          <w:tcPr>
            <w:tcW w:type="pct" w:w="1200"/>
            <w:shd w:val="clear" w:color="auto" w:fill="F2F2F2"/>
          </w:tcPr>
          <w:p>
            <w:r/>
            <w:r>
              <w:rPr>
                <w:rFonts w:ascii="맑은 고딕" w:hAnsi="맑은 고딕" w:eastAsia="맑은 고딕" w:cs="맑은 고딕"/>
                <w:b/>
                <w:color w:val="000000"/>
                <w:sz w:val="19"/>
              </w:rPr>
              <w:t>선고일자</w:t>
            </w:r>
          </w:p>
        </w:tc>
        <w:tc>
          <w:tcPr>
            <w:tcW w:type="pct" w:w="3800"/>
          </w:tcPr>
          <w:p>
            <w:r/>
            <w:r>
              <w:rPr>
                <w:rFonts w:ascii="맑은 고딕" w:hAnsi="맑은 고딕" w:eastAsia="맑은 고딕" w:cs="맑은 고딕"/>
                <w:b w:val="0"/>
                <w:color w:val="000000"/>
                <w:sz w:val="19"/>
              </w:rPr>
              <w:t>2020.09.03</w:t>
            </w:r>
          </w:p>
        </w:tc>
      </w:tr>
      <w:tr>
        <w:tc>
          <w:tcPr>
            <w:tcW w:type="pct" w:w="1200"/>
            <w:shd w:val="clear" w:color="auto" w:fill="F2F2F2"/>
          </w:tcPr>
          <w:p>
            <w:r/>
            <w:r>
              <w:rPr>
                <w:rFonts w:ascii="맑은 고딕" w:hAnsi="맑은 고딕" w:eastAsia="맑은 고딕" w:cs="맑은 고딕"/>
                <w:b/>
                <w:color w:val="000000"/>
                <w:sz w:val="19"/>
              </w:rPr>
              <w:t>법원</w:t>
            </w:r>
          </w:p>
        </w:tc>
        <w:tc>
          <w:tcPr>
            <w:tcW w:type="pct" w:w="3800"/>
          </w:tcPr>
          <w:p>
            <w:r/>
            <w:r>
              <w:rPr>
                <w:rFonts w:ascii="맑은 고딕" w:hAnsi="맑은 고딕" w:eastAsia="맑은 고딕" w:cs="맑은 고딕"/>
                <w:b w:val="0"/>
                <w:color w:val="000000"/>
                <w:sz w:val="19"/>
              </w:rPr>
              <w:t>대법원</w:t>
            </w:r>
          </w:p>
        </w:tc>
      </w:tr>
      <w:tr>
        <w:tc>
          <w:tcPr>
            <w:tcW w:type="pct" w:w="1200"/>
            <w:shd w:val="clear" w:color="auto" w:fill="F2F2F2"/>
          </w:tcPr>
          <w:p>
            <w:r/>
            <w:r>
              <w:rPr>
                <w:rFonts w:ascii="맑은 고딕" w:hAnsi="맑은 고딕" w:eastAsia="맑은 고딕" w:cs="맑은 고딕"/>
                <w:b/>
                <w:color w:val="000000"/>
                <w:sz w:val="19"/>
              </w:rPr>
              <w:t>사건종류</w:t>
            </w:r>
          </w:p>
        </w:tc>
        <w:tc>
          <w:tcPr>
            <w:tcW w:type="pct" w:w="3800"/>
          </w:tcPr>
          <w:p>
            <w:r/>
            <w:r>
              <w:rPr>
                <w:rFonts w:ascii="맑은 고딕" w:hAnsi="맑은 고딕" w:eastAsia="맑은 고딕" w:cs="맑은 고딕"/>
                <w:b w:val="0"/>
                <w:color w:val="000000"/>
                <w:sz w:val="19"/>
              </w:rPr>
              <w:t>형사</w:t>
            </w:r>
          </w:p>
        </w:tc>
      </w:tr>
    </w:tbl>
    <w:p/>
    <w:p/>
    <w:p>
      <w:pPr>
        <w:pStyle w:val="2"/>
        <w:spacing w:before="80"/>
      </w:pPr>
      <w:r>
        <w:rPr>
          <w:rFonts w:ascii="맑은 고딕" w:hAnsi="맑은 고딕" w:eastAsia="맑은 고딕" w:cs="맑은 고딕"/>
          <w:color w:val="000000"/>
        </w:rPr>
        <w:t>2. 판단</w:t>
      </w:r>
    </w:p>
    <w:p>
      <w:r>
        <w:rPr>
          <w:rFonts w:ascii="맑은 고딕" w:hAnsi="맑은 고딕" w:eastAsia="맑은 고딕" w:cs="맑은 고딕"/>
          <w:color w:val="000000"/>
        </w:rPr>
        <w:t>원심의 판단에 폐기물관리법 제25조 제9항 제1호의 ‘적정한 보관장소’에 관한 법리를 오해하거나 심리를 다하지 않은 잘못이 없다.</w:t>
      </w:r>
      <w:r>
        <w:rPr>
          <w:rFonts w:ascii="맑은 고딕" w:hAnsi="맑은 고딕" w:eastAsia="맑은 고딕" w:cs="맑은 고딕"/>
          <w:color w:val="000000"/>
        </w:rPr>
        <w:br/>
      </w:r>
      <w:r>
        <w:rPr>
          <w:rFonts w:ascii="맑은 고딕" w:hAnsi="맑은 고딕" w:eastAsia="맑은 고딕" w:cs="맑은 고딕"/>
          <w:color w:val="000000"/>
        </w:rPr>
        <w:t>3.</w:t>
      </w:r>
    </w:p>
    <w:p/>
    <w:p/>
    <w:p>
      <w:pPr>
        <w:pStyle w:val="2"/>
        <w:spacing w:before="80"/>
      </w:pPr>
      <w:r>
        <w:rPr>
          <w:rFonts w:ascii="맑은 고딕" w:hAnsi="맑은 고딕" w:eastAsia="맑은 고딕" w:cs="맑은 고딕"/>
          <w:color w:val="000000"/>
        </w:rPr>
        <w:t>3. 판결요지</w:t>
      </w:r>
    </w:p>
    <w:p>
      <w:r>
        <w:rPr>
          <w:rFonts w:ascii="맑은 고딕" w:hAnsi="맑은 고딕" w:eastAsia="맑은 고딕" w:cs="맑은 고딕"/>
          <w:color w:val="000000"/>
        </w:rPr>
        <w:t>폐기물처리업자가 지켜야 할 준수사항으로 폐기물의 적정한 보관장소를 규정한 폐기물관리법 제25조 제9항 제1호의 ‘허가받은 사업장 내 보관시설’이 허가를 받은 폐기물처리업자 자신의 사업장 내 보관시설을 의미하는지 여부(적극) 및 제3자가 허가를 받은 사업장이 그 ‘사업장’에 포함되는지 여부(소극)</w:t>
      </w:r>
    </w:p>
    <w:p/>
    <w:p/>
    <w:p>
      <w:pPr>
        <w:pStyle w:val="2"/>
        <w:spacing w:before="80"/>
      </w:pPr>
      <w:r>
        <w:rPr>
          <w:rFonts w:ascii="맑은 고딕" w:hAnsi="맑은 고딕" w:eastAsia="맑은 고딕" w:cs="맑은 고딕"/>
          <w:color w:val="000000"/>
        </w:rPr>
        <w:t>4. 참조 조문</w:t>
      </w:r>
    </w:p>
    <w:p>
      <w:r>
        <w:rPr>
          <w:rFonts w:ascii="맑은 고딕" w:hAnsi="맑은 고딕" w:eastAsia="맑은 고딕" w:cs="맑은 고딕"/>
          <w:color w:val="000000"/>
        </w:rPr>
        <w:t>폐기물관리법 제25조 제9항 제1호, 제66조 제9호, 폐기물관리법 시행령 제7조 제1항 제6호, 폐기물관리법 시행규칙 제30조의2</w:t>
      </w:r>
    </w:p>
    <w:p>
      <w:pPr>
        <w:pStyle w:val="note"/>
        <w:spacing w:before="120"/>
      </w:pPr>
      <w:r>
        <w:rPr>
          <w:rFonts w:ascii="맑은 고딕" w:hAnsi="맑은 고딕" w:eastAsia="맑은 고딕" w:cs="맑은 고딕"/>
          <w:color w:val="000000"/>
        </w:rPr>
        <w:t>※ 본 정리는 국가법령정보센터 판례를 요약·정리한 참고자료이며, 구체적 사안은 판결 원문과 전문가 검토가 필요합니다.</w:t>
      </w:r>
    </w:p>
    <w:p>
      <w:pPr>
        <w:spacing w:before="160"/>
      </w:pPr>
      <w:r>
        <w:rPr>
          <w:rFonts w:ascii="맑은 고딕" w:hAnsi="맑은 고딕" w:eastAsia="맑은 고딕" w:cs="맑은 고딕"/>
          <w:color w:val="000000"/>
          <w:sz w:val="18"/>
        </w:rPr>
        <w:t>태그  #폐기물관리법판례 #폐기물재활용 #건설폐기물 #폐기물수출입 #형사판례 #대법원판례 #2020년판례 #2020도7929 #환경법 #환경인허가 #인허가서대리 #서대리</w:t>
      </w:r>
    </w:p>
    <w:p>
      <w:pPr>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