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폐기물처리사업계획부적합통보처분취소</w:t>
      </w:r>
    </w:p>
    <w:p>
      <w:pPr>
        <w:pStyle w:val="law1"/>
        <w:spacing w:after="160"/>
      </w:pPr>
      <w:r>
        <w:rPr>
          <w:rFonts w:ascii="맑은 고딕" w:hAnsi="맑은 고딕" w:eastAsia="맑은 고딕" w:cs="맑은 고딕"/>
          <w:color w:val="000000"/>
        </w:rPr>
        <w:t>대법원 2020두36007 (2020.07.23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2020두36007</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2020.07.23</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가.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t>나.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t>3. 대법원의 판단</w:t>
      </w:r>
      <w:r>
        <w:rPr>
          <w:rFonts w:ascii="맑은 고딕" w:hAnsi="맑은 고딕" w:eastAsia="맑은 고딕" w:cs="맑은 고딕"/>
          <w:color w:val="000000"/>
        </w:rPr>
        <w:br/>
      </w:r>
      <w:r>
        <w:rPr>
          <w:rFonts w:ascii="맑은 고딕" w:hAnsi="맑은 고딕" w:eastAsia="맑은 고딕" w:cs="맑은 고딕"/>
          <w:color w:val="000000"/>
        </w:rPr>
        <w:t>가.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1)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t>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t>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t>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t>2) 뿐만 아니라 이 사건 폐기물처리시설에서 악취방지법이 정한 한도를 초과하는 수준의 악취가 발생할 것으로도 예측된다.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t>3)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t>4)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t>나. 그런데도 원심은 판시와 같은 이유만으로 이 사건 처분이 재량권을 일탈·남용한 것으로서 위법하다고 판단하였다. 이러한 원심판단에는 폐기물관리법상 폐기물처리사업계획서 적합 여부 통보 등에 관한 법리를 오해하여 필요한 심리를 다하지 않음으로써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4.</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color w:val="000000"/>
        </w:rPr>
        <w:t>[3]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[1] 폐기물관리법 제25조 제1항, 제2항, 제3항, 환경정책기본법 제3조 제1호, 제12조 제1항, 제13조, 행정소송법 제27조 / [2] 폐기물관리법 제25조 제2항, 행정소송법 제27조 / [3] 행정절차법 제17조 제5항, 제6항, 제8항</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