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>
      <w:pPr>
        <w:spacing w:after="60"/>
      </w:pPr>
      <w:r>
        <w:rPr>
          <w:rFonts w:ascii="맑은 고딕" w:hAnsi="맑은 고딕" w:eastAsia="맑은 고딕" w:cs="맑은 고딕"/>
          <w:b/>
          <w:color w:val="000000"/>
          <w:sz w:val="30"/>
        </w:rPr>
        <w:t>방치폐기물처리명령취소</w:t>
      </w:r>
    </w:p>
    <w:p>
      <w:pPr>
        <w:pStyle w:val="law1"/>
        <w:spacing w:after="160"/>
      </w:pPr>
      <w:r>
        <w:rPr>
          <w:rFonts w:ascii="맑은 고딕" w:hAnsi="맑은 고딕" w:eastAsia="맑은 고딕" w:cs="맑은 고딕"/>
          <w:color w:val="000000"/>
        </w:rPr>
        <w:t>대법원 2021두31429 (2021.07.15 선고) · 일반행정</w:t>
      </w:r>
    </w:p>
    <w:p/>
    <w:p/>
    <w:p>
      <w:pPr>
        <w:pStyle w:val="2"/>
      </w:pPr>
      <w:r>
        <w:rPr>
          <w:rFonts w:ascii="맑은 고딕" w:hAnsi="맑은 고딕" w:eastAsia="맑은 고딕" w:cs="맑은 고딕"/>
          <w:color w:val="000000"/>
        </w:rPr>
        <w:t>1. 사건 개요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2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사건번호</w:t>
            </w:r>
          </w:p>
        </w:tc>
        <w:tc>
          <w:tcPr>
            <w:tcW w:type="pct" w:w="38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2021두31429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선고일자</w:t>
            </w:r>
          </w:p>
        </w:tc>
        <w:tc>
          <w:tcPr>
            <w:tcW w:type="pct" w:w="38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2021.07.15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법원</w:t>
            </w:r>
          </w:p>
        </w:tc>
        <w:tc>
          <w:tcPr>
            <w:tcW w:type="pct" w:w="38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대법원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사건종류</w:t>
            </w:r>
          </w:p>
        </w:tc>
        <w:tc>
          <w:tcPr>
            <w:tcW w:type="pct" w:w="38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일반행정</w:t>
            </w:r>
          </w:p>
        </w:tc>
      </w:tr>
    </w:tbl>
    <w:p/>
    <w:p/>
    <w:p>
      <w:pPr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2. 사실관계</w:t>
      </w:r>
    </w:p>
    <w:p>
      <w:r>
        <w:rPr>
          <w:rFonts w:ascii="맑은 고딕" w:hAnsi="맑은 고딕" w:eastAsia="맑은 고딕" w:cs="맑은 고딕"/>
          <w:color w:val="000000"/>
        </w:rPr>
        <w:t>사건의 개요와 쟁점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가. 원심판결 이유와 기록에 의하면, 다음과 같은 사정을 알 수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1) 원고는 2012. 10. 1.경부터 ‘(상호 생략)’라는 상호로 화장지 등 제조·판매업을 영위하고 있는 사람이고, 유한회사 은진산업(이하 ‘은진산업’이라 한다)은 2004. 2. 6. 폐기물 수집·운반업 허가 및 2015. 7. 20. 폐기물 중간재활용업 허가를 받아 전북 완주군 (주소 생략) 외 2필지 및 그 지상 공장건물 등(이하 ‘이 사건 사업장’이라 한다)에서 폐기물처리업을 영위하던 업체이다.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2) 피고는 2016. 4. 7. 이 사건 사업장에 허용보관량(672t)을 초과한 약 5,000t의 폐기물이 보관되어 있음을 확인하여 은진산업에 대하여 폐기물관리법 제39조의3에 따라 폐기물조치명령 및 반입중지 명령을 하였고, 2016. 6. 2.에는 폐기물처리업자 준수사항 위반, 폐기물처리시설 미신고 설치운영을 사유로 2개월의 영업정지처분 및 개선명령을 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3) 피고는 2016. 7. 25. 은진산업에 대하여 방치폐기물처리 이행보증금 계약갱신명령위반을 사유로 폐기물 중간재활용업 허가취소처분을 하였고, 2016. 7. 29. 폐기물 중간재활용업 허가가 취소됨에 따라 방치폐기물에 대한 처리명령을 하였으나, 은진산업은 위 명령을 이행하지 아니하였다.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4) 원고는 2017. 5. 8. 이 사건 사업장 및 사업장에 있던 폐기물 중간재활용업 관련 시설·장비인 파쇄·분쇄 시설 등(이하 ‘이 사건 폐기물처리시설 등’이라 한다)에 대한 부동산임의경매절차에서 이 사건 폐기물처리시설 등을 경락받아 2017. 6. 7. 그 소유권을 이전받고, 2017. 7. 27.경 위 폐기물처리시설 등을 인도받았다.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5) 피고는 2017. 7. 5. 원고에게 ‘원고가 이 사건 폐기물처리시설 등을 인수하여 허가 등에 따른 권리·의무를 승계하므로 방치폐기물처리를 명할 계획이니 폐기물처리계획서를 제출하라.’는 내용의 사전통지를 하였다. 피고는 2018. 12. 6. 원고가 경매를 통하여 이 사건 폐기물처리시설 등을 인수하여 허가에 따른 권리·의무를 승계하였음을 이유로, 구 폐기물관리법(2017. 4. 18. 법률 제14783호로 개정되기 전의 것, 이하 ‘법’이라 한다) 제33조 제2항, 제40조 제3항에 의하여 원고에게 은진산업이 이 사건 사업장에 방치한 폐기물을 2019. 2. 28.까지 처리할 것을 명령(이하 ‘이 사건 처분’이라 한다)하였다.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나.</w:t>
      </w:r>
    </w:p>
    <w:p/>
    <w:p/>
    <w:p>
      <w:pPr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3. 쟁점</w:t>
      </w:r>
    </w:p>
    <w:p>
      <w:r>
        <w:rPr>
          <w:rFonts w:ascii="맑은 고딕" w:hAnsi="맑은 고딕" w:eastAsia="맑은 고딕" w:cs="맑은 고딕"/>
          <w:color w:val="000000"/>
        </w:rPr>
        <w:t>이 사건의 쟁점은, 경매로 이 사건 폐기물처리시설 등을 인수한 원고가 법 제33조 제2항, 제40조 제3항에 정한 ‘허가에 따른 권리·의무를 승계한 자’에 해당하는지 여부이다.</w:t>
      </w:r>
    </w:p>
    <w:p/>
    <w:p/>
    <w:p>
      <w:pPr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4. 판단</w:t>
      </w:r>
    </w:p>
    <w:p>
      <w:r>
        <w:rPr>
          <w:rFonts w:ascii="맑은 고딕" w:hAnsi="맑은 고딕" w:eastAsia="맑은 고딕" w:cs="맑은 고딕"/>
          <w:color w:val="000000"/>
        </w:rPr>
        <w:t>원심의 판단에는 폐기물처리업 허가에 따른 권리·의무 승계에 관한 법리를 오해하여 판결에 영향을 미친 잘못이 있다. 이를 지적하는 원고의 상고이유는 이유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3.</w:t>
      </w:r>
    </w:p>
    <w:p/>
    <w:p/>
    <w:p>
      <w:pPr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5. 판결요지</w:t>
      </w:r>
    </w:p>
    <w:p>
      <w:r>
        <w:rPr>
          <w:rFonts w:ascii="맑은 고딕" w:hAnsi="맑은 고딕" w:eastAsia="맑은 고딕" w:cs="맑은 고딕"/>
          <w:color w:val="000000"/>
        </w:rPr>
        <w:t>[1] 폐기물처리업 허가의 성격 및 구 폐기물관리법 제33조 제3항에 따라 권리·의무 승계신고를 수리하는 허가관청 행위의 성격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[2] 구 폐기물관리법 제33조 제3항에서 정한 ‘허가에 따른 권리·의무 승계’의 효과는 폐기물처리시설 등 인수자의 권리·의무 승계신고를 허가관청이 수리한 경우에 발생하는지 여부(적극) 및 같은 법 제40조 제3항에서 정한 방치폐기물 처리명령을 할 수 있는 ‘제33조 제2항에 따라 권리·의무를 승계한 자’ 역시 위 승계신고가 수리됨으로써 영업허가자의 지위를 얻게 된 자를 의미하는지 여부(적극)</w:t>
      </w:r>
    </w:p>
    <w:p/>
    <w:p/>
    <w:p>
      <w:pPr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6. 참조 조문</w:t>
      </w:r>
    </w:p>
    <w:p>
      <w:r>
        <w:rPr>
          <w:rFonts w:ascii="맑은 고딕" w:hAnsi="맑은 고딕" w:eastAsia="맑은 고딕" w:cs="맑은 고딕"/>
          <w:color w:val="000000"/>
        </w:rPr>
        <w:t>[1] 구 폐기물관리법(2017. 4. 18. 법률 제14783호로 개정되기 전의 것) 제33조 제2항, 제3항, 제40조 제3항 / [2] 구 폐기물관리법(2017. 4. 18. 법률 제14783호로 개정되기 전의 것) 제33조 제2항, 제3항, 제40조 제3항</w:t>
      </w:r>
    </w:p>
    <w:p>
      <w:pPr>
        <w:pStyle w:val="note"/>
        <w:spacing w:before="120"/>
      </w:pPr>
      <w:r>
        <w:rPr>
          <w:rFonts w:ascii="맑은 고딕" w:hAnsi="맑은 고딕" w:eastAsia="맑은 고딕" w:cs="맑은 고딕"/>
          <w:color w:val="000000"/>
        </w:rPr>
        <w:t>※ 본 정리는 국가법령정보센터 판례를 요약·정리한 참고자료이며, 구체적 사안은 판결 원문과 전문가 검토가 필요합니다.</w:t>
      </w:r>
    </w:p>
    <w:p>
      <w:pPr>
        <w:spacing w:before="160"/>
      </w:pPr>
      <w:r>
        <w:rPr>
          <w:rFonts w:ascii="맑은 고딕" w:hAnsi="맑은 고딕" w:eastAsia="맑은 고딕" w:cs="맑은 고딕"/>
          <w:color w:val="000000"/>
          <w:sz w:val="18"/>
        </w:rPr>
        <w:t>태그  #폐기물판례 #방치폐기물 #행정판례 #대법원판례 #2021년판례 #2021두31429 #환경법 #환경인허가 #인허가서대리 #서대리</w:t>
      </w:r>
    </w:p>
    <w:p>
      <w:pPr>
        <w:pStyle w:val="mark"/>
      </w:pPr>
      <w:r>
        <w:rPr>
          <w:rFonts w:ascii="맑은 고딕" w:hAnsi="맑은 고딕" w:eastAsia="맑은 고딕" w:cs="맑은 고딕"/>
          <w:color w:val="000000"/>
        </w:rPr>
        <w:t>인허가 서대리  https://seodaeri.com/</w:t>
      </w:r>
    </w:p>
    <w:sectPr w:rsidR="00B27BF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5019F" w14:textId="77777777" w:rsidR="00B27BFC" w:rsidRDefault="00B27BFC" w:rsidP="00F52617">
      <w:r>
        <w:separator/>
      </w:r>
    </w:p>
  </w:endnote>
  <w:endnote w:type="continuationSeparator" w:id="0">
    <w:p w14:paraId="7974C6BA" w14:textId="77777777" w:rsidR="00B27BFC" w:rsidRDefault="00B27BFC" w:rsidP="00F526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AD215" w14:textId="77777777" w:rsidR="00B27BFC" w:rsidRDefault="00B27BFC" w:rsidP="00F52617">
      <w:r>
        <w:separator/>
      </w:r>
    </w:p>
  </w:footnote>
  <w:footnote w:type="continuationSeparator" w:id="0">
    <w:p w14:paraId="7300C114" w14:textId="77777777" w:rsidR="00B27BFC" w:rsidRDefault="00B27BFC" w:rsidP="00F526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B13F6"/>
    <w:multiLevelType w:val="multilevel"/>
    <w:tmpl w:val="EF2AA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8A3F22"/>
    <w:multiLevelType w:val="multilevel"/>
    <w:tmpl w:val="801AD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AF3513"/>
    <w:multiLevelType w:val="multilevel"/>
    <w:tmpl w:val="A90A5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35387B"/>
    <w:multiLevelType w:val="multilevel"/>
    <w:tmpl w:val="0E32E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2799665">
    <w:abstractNumId w:val="2"/>
  </w:num>
  <w:num w:numId="2" w16cid:durableId="1051461951">
    <w:abstractNumId w:val="0"/>
  </w:num>
  <w:num w:numId="3" w16cid:durableId="1212620573">
    <w:abstractNumId w:val="3"/>
  </w:num>
  <w:num w:numId="4" w16cid:durableId="6274003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617"/>
    <w:rsid w:val="00A42A17"/>
    <w:rsid w:val="00B27BFC"/>
    <w:rsid w:val="00F52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DF796CA"/>
  <w15:chartTrackingRefBased/>
  <w15:docId w15:val="{AB8F6F78-766D-4920-A396-8027FE2C1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pPr>
      <w:spacing w:before="450" w:after="150"/>
      <w:outlineLvl w:val="1"/>
    </w:pPr>
    <w:rPr>
      <w:b/>
      <w:bCs/>
      <w:sz w:val="23"/>
      <w:szCs w:val="23"/>
    </w:rPr>
  </w:style>
  <w:style w:type="paragraph" w:styleId="3">
    <w:name w:val="heading 3"/>
    <w:basedOn w:val="a"/>
    <w:link w:val="3Char"/>
    <w:uiPriority w:val="9"/>
    <w:qFormat/>
    <w:pPr>
      <w:spacing w:before="165" w:after="75"/>
      <w:outlineLvl w:val="2"/>
    </w:pPr>
    <w:rPr>
      <w:b/>
      <w:bCs/>
      <w:sz w:val="20"/>
      <w:szCs w:val="20"/>
    </w:rPr>
  </w:style>
  <w:style w:type="paragraph" w:styleId="4">
    <w:name w:val="heading 4"/>
    <w:basedOn w:val="a"/>
    <w:link w:val="4Char"/>
    <w:uiPriority w:val="9"/>
    <w:qFormat/>
    <w:pPr>
      <w:spacing w:before="210" w:after="75"/>
      <w:outlineLvl w:val="3"/>
    </w:pPr>
    <w:rPr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paragraph" w:customStyle="1" w:styleId="page">
    <w:name w:val="page"/>
    <w:basedOn w:val="a"/>
    <w:pPr>
      <w:shd w:val="clear" w:color="auto" w:fill="FFFFFF"/>
    </w:pPr>
  </w:style>
  <w:style w:type="paragraph" w:customStyle="1" w:styleId="toolbar">
    <w:name w:val="toolbar"/>
    <w:basedOn w:val="a"/>
    <w:pPr>
      <w:jc w:val="right"/>
    </w:pPr>
    <w:rPr>
      <w:vanish/>
    </w:rPr>
  </w:style>
  <w:style w:type="paragraph" w:customStyle="1" w:styleId="btn">
    <w:name w:val="btn"/>
    <w:basedOn w:val="a"/>
    <w:pPr>
      <w:pBdr>
        <w:top w:val="single" w:sz="6" w:space="4" w:color="999999"/>
        <w:left w:val="single" w:sz="6" w:space="11" w:color="999999"/>
        <w:bottom w:val="single" w:sz="6" w:space="4" w:color="999999"/>
        <w:right w:val="single" w:sz="6" w:space="11" w:color="999999"/>
      </w:pBdr>
      <w:shd w:val="clear" w:color="auto" w:fill="FFFFFF"/>
      <w:spacing w:before="100" w:beforeAutospacing="1" w:after="100" w:afterAutospacing="1"/>
    </w:pPr>
    <w:rPr>
      <w:color w:val="333333"/>
      <w:sz w:val="18"/>
      <w:szCs w:val="18"/>
    </w:rPr>
  </w:style>
  <w:style w:type="paragraph" w:customStyle="1" w:styleId="doc-head">
    <w:name w:val="doc-head"/>
    <w:basedOn w:val="a"/>
    <w:pPr>
      <w:spacing w:before="100" w:beforeAutospacing="1" w:after="270"/>
      <w:jc w:val="center"/>
    </w:pPr>
  </w:style>
  <w:style w:type="paragraph" w:customStyle="1" w:styleId="bt">
    <w:name w:val="bt"/>
    <w:basedOn w:val="a"/>
    <w:pPr>
      <w:spacing w:before="75" w:after="45"/>
    </w:pPr>
    <w:rPr>
      <w:sz w:val="19"/>
      <w:szCs w:val="19"/>
    </w:rPr>
  </w:style>
  <w:style w:type="paragraph" w:customStyle="1" w:styleId="law-box">
    <w:name w:val="law-box"/>
    <w:basedOn w:val="a"/>
    <w:pPr>
      <w:shd w:val="clear" w:color="auto" w:fill="FBFBFB"/>
      <w:spacing w:before="120" w:after="60"/>
    </w:pPr>
  </w:style>
  <w:style w:type="paragraph" w:customStyle="1" w:styleId="note">
    <w:name w:val="note"/>
    <w:basedOn w:val="a"/>
    <w:pPr>
      <w:spacing w:before="105"/>
      <w:ind w:hanging="225"/>
    </w:pPr>
    <w:rPr>
      <w:b/>
      <w:bCs/>
      <w:sz w:val="19"/>
      <w:szCs w:val="19"/>
    </w:rPr>
  </w:style>
  <w:style w:type="paragraph" w:customStyle="1" w:styleId="src">
    <w:name w:val="src"/>
    <w:basedOn w:val="a"/>
    <w:pPr>
      <w:spacing w:before="90"/>
    </w:pPr>
    <w:rPr>
      <w:sz w:val="17"/>
      <w:szCs w:val="17"/>
    </w:rPr>
  </w:style>
  <w:style w:type="paragraph" w:customStyle="1" w:styleId="mark">
    <w:name w:val="mark"/>
    <w:basedOn w:val="a"/>
    <w:pPr>
      <w:spacing w:before="90"/>
      <w:jc w:val="right"/>
    </w:pPr>
    <w:rPr>
      <w:b/>
      <w:bCs/>
      <w:color w:val="9A9A9A"/>
      <w:spacing w:val="3"/>
      <w:sz w:val="17"/>
      <w:szCs w:val="17"/>
    </w:rPr>
  </w:style>
  <w:style w:type="paragraph" w:customStyle="1" w:styleId="runfoot">
    <w:name w:val="runfoot"/>
    <w:basedOn w:val="a"/>
    <w:pPr>
      <w:spacing w:before="240" w:after="100" w:afterAutospacing="1"/>
    </w:pPr>
    <w:rPr>
      <w:b/>
      <w:bCs/>
      <w:color w:val="666666"/>
      <w:sz w:val="17"/>
      <w:szCs w:val="17"/>
    </w:rPr>
  </w:style>
  <w:style w:type="paragraph" w:customStyle="1" w:styleId="sm">
    <w:name w:val="sm"/>
    <w:basedOn w:val="a"/>
    <w:pPr>
      <w:spacing w:before="100" w:beforeAutospacing="1" w:after="100" w:afterAutospacing="1"/>
    </w:pPr>
  </w:style>
  <w:style w:type="paragraph" w:customStyle="1" w:styleId="law">
    <w:name w:val="law"/>
    <w:basedOn w:val="a"/>
    <w:pPr>
      <w:spacing w:before="100" w:beforeAutospacing="1" w:after="100" w:afterAutospacing="1"/>
    </w:pPr>
  </w:style>
  <w:style w:type="paragraph" w:customStyle="1" w:styleId="rule">
    <w:name w:val="rule"/>
    <w:basedOn w:val="a"/>
    <w:pPr>
      <w:spacing w:before="100" w:beforeAutospacing="1" w:after="100" w:afterAutospacing="1"/>
    </w:pPr>
  </w:style>
  <w:style w:type="paragraph" w:customStyle="1" w:styleId="sep">
    <w:name w:val="sep"/>
    <w:basedOn w:val="a"/>
    <w:pPr>
      <w:spacing w:before="100" w:beforeAutospacing="1" w:after="100" w:afterAutospacing="1"/>
    </w:pPr>
  </w:style>
  <w:style w:type="paragraph" w:customStyle="1" w:styleId="grp">
    <w:name w:val="grp"/>
    <w:basedOn w:val="a"/>
    <w:pPr>
      <w:spacing w:before="100" w:beforeAutospacing="1" w:after="100" w:afterAutospacing="1"/>
    </w:pPr>
  </w:style>
  <w:style w:type="paragraph" w:customStyle="1" w:styleId="v">
    <w:name w:val="v"/>
    <w:basedOn w:val="a"/>
    <w:pPr>
      <w:spacing w:before="100" w:beforeAutospacing="1" w:after="100" w:afterAutospacing="1"/>
    </w:pPr>
  </w:style>
  <w:style w:type="paragraph" w:customStyle="1" w:styleId="ctr">
    <w:name w:val="ctr"/>
    <w:basedOn w:val="a"/>
    <w:pPr>
      <w:spacing w:before="100" w:beforeAutospacing="1" w:after="100" w:afterAutospacing="1"/>
    </w:pPr>
  </w:style>
  <w:style w:type="paragraph" w:customStyle="1" w:styleId="key">
    <w:name w:val="key"/>
    <w:basedOn w:val="a"/>
    <w:pPr>
      <w:spacing w:before="100" w:beforeAutospacing="1" w:after="100" w:afterAutospacing="1"/>
    </w:pPr>
  </w:style>
  <w:style w:type="paragraph" w:customStyle="1" w:styleId="lw">
    <w:name w:val="lw"/>
    <w:basedOn w:val="a"/>
    <w:pPr>
      <w:spacing w:before="100" w:beforeAutospacing="1" w:after="100" w:afterAutospacing="1"/>
    </w:pPr>
  </w:style>
  <w:style w:type="paragraph" w:customStyle="1" w:styleId="na">
    <w:name w:val="na"/>
    <w:basedOn w:val="a"/>
    <w:pPr>
      <w:spacing w:before="100" w:beforeAutospacing="1" w:after="100" w:afterAutospacing="1"/>
    </w:pPr>
  </w:style>
  <w:style w:type="paragraph" w:customStyle="1" w:styleId="cite">
    <w:name w:val="cite"/>
    <w:basedOn w:val="a"/>
    <w:pPr>
      <w:spacing w:before="100" w:beforeAutospacing="1" w:after="100" w:afterAutospacing="1"/>
    </w:pPr>
  </w:style>
  <w:style w:type="paragraph" w:customStyle="1" w:styleId="body">
    <w:name w:val="body"/>
    <w:basedOn w:val="a"/>
    <w:pPr>
      <w:spacing w:before="100" w:beforeAutospacing="1" w:after="100" w:afterAutospacing="1"/>
    </w:pPr>
  </w:style>
  <w:style w:type="paragraph" w:customStyle="1" w:styleId="u">
    <w:name w:val="u"/>
    <w:basedOn w:val="a"/>
    <w:pPr>
      <w:spacing w:before="100" w:beforeAutospacing="1" w:after="100" w:afterAutospacing="1"/>
    </w:pPr>
  </w:style>
  <w:style w:type="paragraph" w:customStyle="1" w:styleId="brand">
    <w:name w:val="brand"/>
    <w:basedOn w:val="a"/>
    <w:pPr>
      <w:spacing w:before="100" w:beforeAutospacing="1" w:after="100" w:afterAutospacing="1"/>
    </w:pPr>
  </w:style>
  <w:style w:type="paragraph" w:customStyle="1" w:styleId="url">
    <w:name w:val="url"/>
    <w:basedOn w:val="a"/>
    <w:pPr>
      <w:spacing w:before="100" w:beforeAutospacing="1" w:after="100" w:afterAutospacing="1"/>
    </w:pPr>
  </w:style>
  <w:style w:type="paragraph" w:customStyle="1" w:styleId="ho">
    <w:name w:val="ho"/>
    <w:basedOn w:val="a"/>
    <w:pPr>
      <w:spacing w:before="100" w:beforeAutospacing="1" w:after="100" w:afterAutospacing="1"/>
    </w:pPr>
  </w:style>
  <w:style w:type="paragraph" w:customStyle="1" w:styleId="mok">
    <w:name w:val="mok"/>
    <w:basedOn w:val="a"/>
    <w:pPr>
      <w:spacing w:before="100" w:beforeAutospacing="1" w:after="100" w:afterAutospacing="1"/>
    </w:pPr>
  </w:style>
  <w:style w:type="paragraph" w:customStyle="1" w:styleId="amend">
    <w:name w:val="amend"/>
    <w:basedOn w:val="a"/>
    <w:pPr>
      <w:spacing w:before="100" w:beforeAutospacing="1" w:after="100" w:afterAutospacing="1"/>
    </w:pPr>
  </w:style>
  <w:style w:type="paragraph" w:customStyle="1" w:styleId="bigo-t">
    <w:name w:val="bigo-t"/>
    <w:basedOn w:val="a"/>
    <w:pPr>
      <w:spacing w:before="100" w:beforeAutospacing="1" w:after="100" w:afterAutospacing="1"/>
    </w:pPr>
  </w:style>
  <w:style w:type="paragraph" w:customStyle="1" w:styleId="eq">
    <w:name w:val="eq"/>
    <w:basedOn w:val="a"/>
    <w:pPr>
      <w:spacing w:before="100" w:beforeAutospacing="1" w:after="100" w:afterAutospacing="1"/>
    </w:pPr>
  </w:style>
  <w:style w:type="paragraph" w:customStyle="1" w:styleId="law1">
    <w:name w:val="law1"/>
    <w:basedOn w:val="a"/>
    <w:pPr>
      <w:spacing w:after="180"/>
    </w:pPr>
    <w:rPr>
      <w:sz w:val="19"/>
      <w:szCs w:val="19"/>
    </w:rPr>
  </w:style>
  <w:style w:type="paragraph" w:customStyle="1" w:styleId="rule1">
    <w:name w:val="rule1"/>
    <w:basedOn w:val="a"/>
  </w:style>
  <w:style w:type="paragraph" w:customStyle="1" w:styleId="sm1">
    <w:name w:val="sm1"/>
    <w:basedOn w:val="a"/>
    <w:pPr>
      <w:spacing w:before="100" w:beforeAutospacing="1" w:after="100" w:afterAutospacing="1"/>
      <w:ind w:left="90"/>
    </w:pPr>
    <w:rPr>
      <w:sz w:val="17"/>
      <w:szCs w:val="17"/>
    </w:rPr>
  </w:style>
  <w:style w:type="paragraph" w:customStyle="1" w:styleId="sep1">
    <w:name w:val="sep1"/>
    <w:basedOn w:val="a"/>
    <w:pPr>
      <w:pBdr>
        <w:left w:val="single" w:sz="6" w:space="0" w:color="E0E0E0"/>
      </w:pBdr>
      <w:spacing w:before="100" w:beforeAutospacing="1" w:after="100" w:afterAutospacing="1"/>
    </w:pPr>
  </w:style>
  <w:style w:type="paragraph" w:customStyle="1" w:styleId="grp1">
    <w:name w:val="grp1"/>
    <w:basedOn w:val="a"/>
    <w:pPr>
      <w:shd w:val="clear" w:color="auto" w:fill="F5F5F5"/>
      <w:spacing w:before="100" w:beforeAutospacing="1" w:after="100" w:afterAutospacing="1"/>
      <w:jc w:val="center"/>
      <w:textAlignment w:val="center"/>
    </w:pPr>
    <w:rPr>
      <w:b/>
      <w:bCs/>
    </w:rPr>
  </w:style>
  <w:style w:type="paragraph" w:customStyle="1" w:styleId="v1">
    <w:name w:val="v1"/>
    <w:basedOn w:val="a"/>
    <w:pPr>
      <w:spacing w:before="100" w:beforeAutospacing="1" w:after="100" w:afterAutospacing="1"/>
      <w:textAlignment w:val="center"/>
    </w:pPr>
  </w:style>
  <w:style w:type="paragraph" w:customStyle="1" w:styleId="ctr1">
    <w:name w:val="ctr1"/>
    <w:basedOn w:val="a"/>
    <w:pPr>
      <w:spacing w:before="100" w:beforeAutospacing="1" w:after="100" w:afterAutospacing="1"/>
      <w:jc w:val="center"/>
    </w:pPr>
  </w:style>
  <w:style w:type="paragraph" w:customStyle="1" w:styleId="key1">
    <w:name w:val="key1"/>
    <w:basedOn w:val="a"/>
    <w:pPr>
      <w:spacing w:before="100" w:beforeAutospacing="1" w:after="100" w:afterAutospacing="1"/>
    </w:pPr>
    <w:rPr>
      <w:b/>
      <w:bCs/>
    </w:rPr>
  </w:style>
  <w:style w:type="paragraph" w:customStyle="1" w:styleId="lw1">
    <w:name w:val="lw1"/>
    <w:basedOn w:val="a"/>
    <w:pPr>
      <w:spacing w:before="100" w:beforeAutospacing="1" w:after="100" w:afterAutospacing="1"/>
      <w:ind w:left="60"/>
    </w:pPr>
    <w:rPr>
      <w:sz w:val="17"/>
      <w:szCs w:val="17"/>
    </w:rPr>
  </w:style>
  <w:style w:type="paragraph" w:customStyle="1" w:styleId="na1">
    <w:name w:val="na1"/>
    <w:basedOn w:val="a"/>
    <w:pPr>
      <w:spacing w:before="100" w:beforeAutospacing="1" w:after="100" w:afterAutospacing="1"/>
    </w:pPr>
    <w:rPr>
      <w:color w:val="8A8A8A"/>
    </w:rPr>
  </w:style>
  <w:style w:type="paragraph" w:customStyle="1" w:styleId="cite1">
    <w:name w:val="cite1"/>
    <w:basedOn w:val="a"/>
    <w:pPr>
      <w:spacing w:after="90"/>
    </w:pPr>
    <w:rPr>
      <w:b/>
      <w:bCs/>
      <w:sz w:val="17"/>
      <w:szCs w:val="17"/>
    </w:rPr>
  </w:style>
  <w:style w:type="paragraph" w:customStyle="1" w:styleId="body1">
    <w:name w:val="body1"/>
    <w:basedOn w:val="a"/>
    <w:pPr>
      <w:spacing w:before="100" w:beforeAutospacing="1" w:after="100" w:afterAutospacing="1"/>
    </w:pPr>
    <w:rPr>
      <w:color w:val="000000"/>
      <w:sz w:val="19"/>
      <w:szCs w:val="19"/>
    </w:rPr>
  </w:style>
  <w:style w:type="paragraph" w:customStyle="1" w:styleId="ho1">
    <w:name w:val="ho1"/>
    <w:basedOn w:val="a"/>
    <w:pPr>
      <w:spacing w:after="75"/>
    </w:pPr>
  </w:style>
  <w:style w:type="paragraph" w:customStyle="1" w:styleId="mok1">
    <w:name w:val="mok1"/>
    <w:basedOn w:val="a"/>
    <w:pPr>
      <w:spacing w:after="75"/>
    </w:pPr>
  </w:style>
  <w:style w:type="paragraph" w:customStyle="1" w:styleId="amend1">
    <w:name w:val="amend1"/>
    <w:basedOn w:val="a"/>
    <w:pPr>
      <w:spacing w:after="75"/>
    </w:pPr>
    <w:rPr>
      <w:sz w:val="16"/>
      <w:szCs w:val="16"/>
    </w:rPr>
  </w:style>
  <w:style w:type="paragraph" w:customStyle="1" w:styleId="bigo-t1">
    <w:name w:val="bigo-t1"/>
    <w:basedOn w:val="a"/>
    <w:pPr>
      <w:spacing w:before="120" w:after="45"/>
    </w:pPr>
    <w:rPr>
      <w:rFonts w:ascii="맑은 고딕" w:eastAsia="맑은 고딕" w:hAnsi="맑은 고딕"/>
      <w:b/>
      <w:bCs/>
      <w:sz w:val="17"/>
      <w:szCs w:val="17"/>
    </w:rPr>
  </w:style>
  <w:style w:type="paragraph" w:customStyle="1" w:styleId="eq1">
    <w:name w:val="eq1"/>
    <w:basedOn w:val="a"/>
    <w:pPr>
      <w:spacing w:before="75" w:after="75"/>
    </w:pPr>
  </w:style>
  <w:style w:type="paragraph" w:customStyle="1" w:styleId="u1">
    <w:name w:val="u1"/>
    <w:basedOn w:val="a"/>
    <w:pPr>
      <w:spacing w:before="100" w:beforeAutospacing="1" w:after="100" w:afterAutospacing="1"/>
      <w:ind w:left="60"/>
    </w:pPr>
    <w:rPr>
      <w:b/>
      <w:bCs/>
      <w:color w:val="B0B0B0"/>
    </w:rPr>
  </w:style>
  <w:style w:type="paragraph" w:customStyle="1" w:styleId="brand1">
    <w:name w:val="brand1"/>
    <w:basedOn w:val="a"/>
    <w:pPr>
      <w:spacing w:before="100" w:beforeAutospacing="1" w:after="100" w:afterAutospacing="1"/>
    </w:pPr>
    <w:rPr>
      <w:b/>
      <w:bCs/>
      <w:color w:val="555555"/>
    </w:rPr>
  </w:style>
  <w:style w:type="paragraph" w:customStyle="1" w:styleId="url1">
    <w:name w:val="url1"/>
    <w:basedOn w:val="a"/>
    <w:pPr>
      <w:spacing w:before="100" w:beforeAutospacing="1" w:after="100" w:afterAutospacing="1"/>
    </w:pPr>
    <w:rPr>
      <w:color w:val="777777"/>
    </w:rPr>
  </w:style>
  <w:style w:type="character" w:customStyle="1" w:styleId="amend2">
    <w:name w:val="amend2"/>
    <w:basedOn w:val="a0"/>
    <w:rPr>
      <w:sz w:val="16"/>
      <w:szCs w:val="16"/>
    </w:rPr>
  </w:style>
  <w:style w:type="paragraph" w:styleId="a4">
    <w:name w:val="header"/>
    <w:basedOn w:val="a"/>
    <w:link w:val="Char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F52617"/>
    <w:rPr>
      <w:rFonts w:ascii="굴림" w:eastAsia="굴림" w:hAnsi="굴림" w:cs="굴림"/>
      <w:sz w:val="24"/>
      <w:szCs w:val="24"/>
    </w:rPr>
  </w:style>
  <w:style w:type="paragraph" w:styleId="a5">
    <w:name w:val="footer"/>
    <w:basedOn w:val="a"/>
    <w:link w:val="Char0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F52617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573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9238">
          <w:marLeft w:val="0"/>
          <w:marRight w:val="0"/>
          <w:marTop w:val="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7096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3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86821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3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46457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509516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9496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8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124277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2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7327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7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33963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576728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018404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4610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8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38910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1344</Words>
  <Characters>7661</Characters>
  <Application>Microsoft Office Word</Application>
  <DocSecurity>4</DocSecurity>
  <Lines>63</Lines>
  <Paragraphs>17</Paragraphs>
  <ScaleCrop>false</ScaleCrop>
  <Company/>
  <LinksUpToDate>false</LinksUpToDate>
  <CharactersWithSpaces>8988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환경기술인 보유 자격기준 및 법적 근거</dc:title>
  <dc:subject/>
  <dc:creator>GWANGSIK JO</dc:creator>
  <cp:keywords/>
  <dc:description/>
  <cp:lastModifiedBy>GWANGSIK JO</cp:lastModifiedBy>
  <cp:revision>2</cp:revision>
  <dcterms:created xsi:type="dcterms:W3CDTF">2026-07-31T02:26:00Z</dcterms:created>
  <dcterms:modified xsi:type="dcterms:W3CDTF">2026-07-31T02:26:00Z</dcterms:modified>
</cp:coreProperties>
</file>