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폐기물처리사업계획서부적합통보취소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2021두45671 (2021.12.30 선고) · 일반행정</w:t>
      </w:r>
    </w:p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2021두45671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2021.12.30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일반행정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r>
        <w:rPr>
          <w:rFonts w:ascii="맑은 고딕" w:hAnsi="맑은 고딕" w:eastAsia="맑은 고딕" w:cs="맑은 고딕"/>
          <w:color w:val="000000"/>
        </w:rPr>
        <w:t>사안의 개요 및 쟁점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가. 원심판결 이유와 기록에 의하면 다음 사실을 알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1) 원고는 반도체 소재 제조업을 영위하는 회사이다. 피고는 충북 음성군 (주소 1 생략) 일원에 있는 ○○산업단지(이하 ‘이 사건 산업단지’라 한다)의 관리기관이자 충청북도지사로부터 충북 음성군 지역의 폐기물처리사업계획서 적합 여부 통보 권한을 위임받은 행정청이다.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2) 원고는 2017. 9. 15. 피고와 사이에 「산업집적활성화 및 공장설립에 관한 법률」(이하 ‘산업집적법’이라 한다) 제38조 제1항에 따라 업종을 기타 반도체 소재 제조업(C26), 공장소재지를 이 사건 산업단지 내 산업시설구역에 있는 위 (주소 2 생략) 공장부지로 정하여 입주계약(이하 ‘이 사건 입주계약’이라 한다)을 체결하고, 위 공장부지에 공장(이하 ‘이 사건 공장’이라 한다)을 신축하였다.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3) 원고는 2018. 10. 18. 피고에게 이 사건 공장에서 주석찌꺼기 폐기물을 재활용하여 반도체 소재 재료 원료인 주석괴를 만들겠다는 내용의 폐기물처리사업계획서(이하 ‘이 사건 사업계획서’라고 한다)를 제출하였다.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4) 피고는 2018. 11. 13. 원고에 대하여 이 사건 산업단지의 관리기본계획에 따르면 이 사건 공장에서 폐기물 수집·운반·처리 및 원료재생업(E38)의 하위업종인 금속원료재생업(E38301)을 할 수 없다는 이유로 부적합 통보(이하 ‘이 사건 처분’이라 한다)를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나.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r>
        <w:rPr>
          <w:rFonts w:ascii="맑은 고딕" w:hAnsi="맑은 고딕" w:eastAsia="맑은 고딕" w:cs="맑은 고딕"/>
          <w:color w:val="000000"/>
        </w:rPr>
        <w:t>이 사건의 쟁점은 ① 이 사건 사업계획서가 이 사건 산업단지의 관리기본계획에 위배되는지, ② 이 사건 처분이 신뢰보호원칙에 위배되는지 여부이다.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r>
        <w:rPr>
          <w:rFonts w:ascii="맑은 고딕" w:hAnsi="맑은 고딕" w:eastAsia="맑은 고딕" w:cs="맑은 고딕"/>
          <w:color w:val="000000"/>
        </w:rPr>
        <w:t>원심의 판단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원심은 이 사건 사업계획서가 이 사건 관리기본계획에 위배된다고 하더라도 원고의 직원들이 음성군청 공무원인 소외 1과 소외 2에게 이 사건 공장에서 금속원료재생업을 할 수 있는지를 문의하여 긍정적인 답변을 들었고, 원고는 이를 믿고 금속원료재생업을 영위하기 위해 이미 상당한 비용을 투자하였으므로, 이 사건 처분은 신뢰보호원칙에 위배된다고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나. 대법원의 판단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그러나 위와 같은 원심의 판단은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1) 일반적으로 행정청의 행위에 대하여 신뢰보호원칙이 적용되기 위해서는, 행정청이 개인에 대하여 신뢰의 대상이 되는 공적인 견해표명을 하여야 하고, 행정청의 견해표명이 정당하다고 신뢰한 데에 대하여 그 개인에게 귀책사유가 없어야 하며, 그 개인이 그 견해표명을 신뢰하고 이에 상응하는 어떠한 행위를 하였어야 하고, 행정청이 그 견해표명에 반하는 처분을 함으로써 견해표명을 신뢰한 개인의 이익이 침해되는 결과가 초래되어야 하며, 그 견해표명에 따른 행정처분을 할 경우 이로 인하여 공익 또는 제3자의 정당한 이익을 현저히 해할 우려가 있는 경우가 아니어야 한다(대법원 2020. 7. 23. 선고 2020두33824 판결). 신뢰보호원칙의 적용 요건인 행정청의 공적 견해표명이 있었는지를 판단할 때 행정조직상의 형식적인 권한분장에 구애될 것은 아니지만, 공적 견해표명이 있다고 인정하기 위해서는 적어도 담당자의 조직상 지위와 임무, 당해 언동을 하게 된 구체적인 경위 등에 비추어 그 언동의 내용을 신뢰할 수 있는 경우이어야 한다(대법원 2016. 6. 28. 선고 2014두2638 판결 등 참조).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2) 기록에 의하면 다음과 같은 사정을 알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가) 원고의 직원들은 음성군청에서 폐기물처리사업계획서 적합 여부 통보 업무 등을 담당하던 소외 1에게 이 사건 공장에서 금속원료재생업을 할 수 있는지를 구두로 문의하였다. 이에 대하여 소외 1은 ‘1차금속 제조업으로 입주계약 변경계약을 체결하면 금속원료재생업을 할 수 있다.’는 취지로 답변하였다. 그런데 위 답변 내용은 이 사건 관리기본계획의 내용을 그대로 알려준 것에 불과하다고 보인다. 위 답변 내용이 원고의 주장처럼 1차금속 제조업으로 업종 변경계약을 체결하지 않고도 금속원료재생업을 할 수 있다는 취지로는 보이지 않는다.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나) 원고의 직원들은 그 무렵 평소 친분이 있던 음성군청 공무원인 소외 2에게도 구두로 이 사건 공장에서 금속원료재생업을 할 수 있는지를 문의하였다. 소외 2는 그 당시 폐기물처리사업계획서 적합 여부 통보 업무 등을 담당하고 있지 않았고, 소외 1에게 이를 확인하여 소외 1의 답변 내용을 원고의 직원들에게 전달하였을 뿐이다.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다) 원고의 임직원이 피고에게 이 사건 공장의 현 소재지에서 1차금속 제조업으로 업종 변경계약을 체결하지 않고도 금속원료재생업을 할 수 있는지를 서면으로 정식 문의하였다는 점에 관한 구체적인 주장, 증명은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3) 이러한 사정들을 앞서 든 법리에 비추어 보면, 원심이 인정한 사실관계만으로 피고가 원고에게 신뢰의 대상이 되는 공적인 견해표명을 하였다고 보기는 어렵다. 그런데도 원심은 이 사건 처분이 신뢰보호원칙에 위배된다고 판단하였다. 이러한 원심판단에는 신뢰보호의 대상이 되는 공적 견해표명에 관한 법리를 오해하여 판결에 영향을 미친 잘못도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4.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r>
        <w:rPr>
          <w:rFonts w:ascii="맑은 고딕" w:hAnsi="맑은 고딕" w:eastAsia="맑은 고딕" w:cs="맑은 고딕"/>
          <w:color w:val="000000"/>
        </w:rPr>
        <w:t>[1] 산업집적활성화 및 공장설립에 관한 법률상 산업단지에서 폐기물처리업을 영위하는 내용의 폐기물처리사업계획서가 해당 산업단지의 관리기본계획에 적합하지 않은 경우, 시·도지사는 폐기물관리법 제25조 제2항 제2호를 근거로 폐기물처리사업계획서 부적합 통보를 할 수 있는지 여부(적극)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행정청의 행위에 대하여 신뢰보호원칙이 적용되기 위한 요건 및 그중 행정청의 공적 견해표명이 있었는지 판단하는 방법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참조 조문</w:t>
      </w:r>
    </w:p>
    <w:p>
      <w:r>
        <w:rPr>
          <w:rFonts w:ascii="맑은 고딕" w:hAnsi="맑은 고딕" w:eastAsia="맑은 고딕" w:cs="맑은 고딕"/>
          <w:color w:val="000000"/>
        </w:rPr>
        <w:t>[1] 구 산업집적활성화 및 공장설립에 관한 법률(2019. 12. 10. 법률 제16799호로 개정되기 전의 것) 제33조 제1항, 제5항(현행 제33조 제7항 참조), 제6항(현행 제33조 제8항 참조), 제38조 제1항, 제2항, 구 산업집적활성화 및 공장설립에 관한 법률 시행령(2020. 5. 12. 대통령령 제30672호로 개정되기 전의 것) 제43조 제1항, 제3항, 제48조의2 제4항, 산업집적활성화 및 공장설립에 관한 법률 시행규칙 제34조, 제35조 제1항 제2호, 폐기물관리법 제25조 제1항, 제2항 제2호 / [2] 행정기본법 제12조, 행정절차법 제4조 제2항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요약·정리한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#폐기물처리사업계획서 #부적합통보 #행정판례 #대법원판례 #2021년판례 #2021두45671 #환경법 #환경인허가 #인허가서대리 #서대리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