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폐기물관리법위반[폐기물 중간재활용업자가 관할관청의 변경허가를 받지 않고 운반차량을 증차했는지가 문제된 사건]</w:t>
      </w:r>
    </w:p>
    <w:p>
      <w:pPr>
        <w:pStyle w:val="law1"/>
        <w:spacing w:after="160"/>
      </w:pPr>
      <w:r>
        <w:rPr>
          <w:rFonts w:ascii="맑은 고딕" w:hAnsi="맑은 고딕" w:eastAsia="맑은 고딕" w:cs="맑은 고딕"/>
          <w:color w:val="000000"/>
        </w:rPr>
        <w:t>대법원 2023도1924 (2024.08.23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2023도1924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2024.08.23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공소사실의 요지</w:t>
      </w:r>
      <w:r>
        <w:rPr>
          <w:rFonts w:ascii="맑은 고딕" w:hAnsi="맑은 고딕" w:eastAsia="맑은 고딕" w:cs="맑은 고딕"/>
          <w:color w:val="000000"/>
        </w:rPr>
        <w:br/>
      </w:r>
      <w:r>
        <w:rPr>
          <w:rFonts w:ascii="맑은 고딕" w:hAnsi="맑은 고딕" w:eastAsia="맑은 고딕" w:cs="맑은 고딕"/>
          <w:color w:val="000000"/>
        </w:rPr>
        <w:t>피고인은 화성시 (주소 생략)에서 ‘(업체명 1 생략)’이라는 상호로 폐기물 중간재활용업을 하는 사람이다.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
    <w:p>
      <w:pPr>
        <w:pStyle w:val="2"/>
        <w:spacing w:before="80"/>
      </w:pPr>
      <w:r>
        <w:rPr>
          <w:rFonts w:ascii="맑은 고딕" w:hAnsi="맑은 고딕" w:eastAsia="맑은 고딕" w:cs="맑은 고딕"/>
          <w:color w:val="000000"/>
        </w:rPr>
        <w:t>3. 쟁점</w:t>
      </w:r>
    </w:p>
    <w:p>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
    <w:p>
      <w:pPr>
        <w:pStyle w:val="2"/>
        <w:spacing w:before="80"/>
      </w:pPr>
      <w:r>
        <w:rPr>
          <w:rFonts w:ascii="맑은 고딕" w:hAnsi="맑은 고딕" w:eastAsia="맑은 고딕" w:cs="맑은 고딕"/>
          <w:color w:val="000000"/>
        </w:rPr>
        <w:t>4. 판단</w:t>
      </w:r>
    </w:p>
    <w:p>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가.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1)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2) 원심이 유지한 제1심은 판결 이유에서 이 사건 계약의 내용에 관한 피고인의 주장을 피고인이 공소외 1로부터 이 사건 운반차량을 ‘임차’하여 폐기물의 운반차량으로 사용한 것으로 정리하였다.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 그런데 뒤에서 보는 바와 같이 이 사건 계약의 실제 내용을 어떻게 볼지에 따라 폐기물처리업의 변경허가를 받아야 하는 중요사항인 ‘운반차량의 증차’에 해당하는지 여부가 달라질 가능성이 있다.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3) 피고인과 이 사건 계약을 체결한 상대방인 공소외 1은 수사기관에서 조사받은 적이 없고, 피고인에 대한 제1심 공판절차에서 사실확인서를 제출하였을 뿐이다.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4)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5) 한편 원심이 유지한 제1심은 유죄의 증거로 피고인의 일부 법정진술, 공소외 3의 확인서의 기재, 수사보고[폐기물반출내역(업체명 1 생략) 첨부]의 기재, 현장사진의 영상을 거시하였다.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
    <w:p>
      <w:pPr>
        <w:pStyle w:val="2"/>
        <w:spacing w:before="80"/>
      </w:pPr>
      <w:r>
        <w:rPr>
          <w:rFonts w:ascii="맑은 고딕" w:hAnsi="맑은 고딕" w:eastAsia="맑은 고딕" w:cs="맑은 고딕"/>
          <w:color w:val="000000"/>
        </w:rPr>
        <w:t>5. 판결요지</w:t>
      </w:r>
    </w:p>
    <w:p>
      <w:r>
        <w:rPr>
          <w:rFonts w:ascii="맑은 고딕" w:hAnsi="맑은 고딕" w:eastAsia="맑은 고딕" w:cs="맑은 고딕"/>
          <w:color w:val="000000"/>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
    <w:p>
      <w:pPr>
        <w:pStyle w:val="2"/>
        <w:spacing w:before="80"/>
      </w:pPr>
      <w:r>
        <w:rPr>
          <w:rFonts w:ascii="맑은 고딕" w:hAnsi="맑은 고딕" w:eastAsia="맑은 고딕" w:cs="맑은 고딕"/>
          <w:color w:val="000000"/>
        </w:rPr>
        <w:t>6. 참조 조문</w:t>
      </w:r>
    </w:p>
    <w:p>
      <w:r>
        <w:rPr>
          <w:rFonts w:ascii="맑은 고딕" w:hAnsi="맑은 고딕" w:eastAsia="맑은 고딕" w:cs="맑은 고딕"/>
          <w:color w:val="000000"/>
        </w:rPr>
        <w:t>[1] 헌법 제12조 제1항, 형법 제1조 제1항 / [2] 폐기물관리법 제25조 제3항, 제5항 제1호, 제5호, 제6항, 폐기물관리법 시행규칙 제28조 제6항 [별표 7] / [3] 폐기물관리법 제25조 제3항, 제11항, 제65조 제14호, 폐기물관리법 시행규칙 제29조 제1항 제3호 (라)목</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