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폐기물처리사업계획신청반려처분취소</w:t>
      </w:r>
    </w:p>
    <w:p>
      <w:pPr>
        <w:pStyle w:val="law1"/>
        <w:spacing w:after="160"/>
      </w:pPr>
      <w:r>
        <w:rPr>
          <w:rFonts w:ascii="맑은 고딕" w:hAnsi="맑은 고딕" w:eastAsia="맑은 고딕" w:cs="맑은 고딕"/>
          <w:color w:val="000000"/>
        </w:rPr>
        <w:t>대법원 2023두35661 (2023.07.27 선고) · 일반행정</w:t>
      </w:r>
    </w:p>
    <w:p/>
    <w:p/>
    <w:p>
      <w:pPr>
        <w:pStyle w:val="2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2023두35661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2023.07.27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대법원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8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일반행정</w:t>
            </w:r>
          </w:p>
        </w:tc>
      </w:tr>
    </w:tbl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2. 판단</w:t>
      </w:r>
    </w:p>
    <w:p>
      <w:r>
        <w:rPr>
          <w:rFonts w:ascii="맑은 고딕" w:hAnsi="맑은 고딕" w:eastAsia="맑은 고딕" w:cs="맑은 고딕"/>
          <w:color w:val="000000"/>
        </w:rPr>
        <w:t>원심의 판단은 그대로 받아들이기 어렵다.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1) 피고가 반려처분서에 처분사유를 ‘폐기물관리법 제25조 제7항 및 이 사건 지침 제3조에 따른 주민 건강 및 주변 환경 영향 여부를 확인하기 위한 주민동의서 미제출’이라고만 기재하였으나, 이 사건 소송과정에서 ① 비산먼지나 그 밖의 오염물질이 가까운 거리에 있는 주민생활에 영향을 줄 우려가 있고, ② 「소음·진동관리법 시행규칙」 제2조의2 [별표 1]에 의해 소음·진동배출시설로 규정된 분쇄시설을 운영할 때 소음·진동 발생이 우려되며, ③ 화재 사례가 빈번한 폐합성수지류 보관 및 처리 중 화재 발생 시 산불로의 확산이 우려되고, ④ 연간 14,400t의 폐기물 반입과 9,000t의 제품 출하를 위해 대형트럭이 빈번하게 출입하여 인근 지역의 교통 위험을 증가시키며, ⑤ 기존 축사가 입지하고 있는 곳에 추가적인 환경오염 유발시설이 입지할 경우 주변 환경오염이 가중된다는 등으로 처분사유로 기재되어 있던 주민의 건강과 주변 환경에의 영향이라는 불확정개념을 구체화하였다.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2) 이 사건 폐기물처리사업계획서에 의하면, 원고가 운영하려는 폐기물처리시설에는 1일 약 48t의 폐합성수지류 폐기물이 운반되는데, 그 폐기물처리시설에서는 이를 선별하고 분쇄하여 고형연료제품(비성형)을 1일 약 12t, 중간가공 폐기물을 1일 약 18t씩 생산하겠다는 것인바, 이와 같은 폐기물 처리과정에서는 소음, 분진, 진동이 발생하고, 폐기물과 제품 운반과정에서도 비산먼지 및 매연으로 인한 대기오염이 발생할 수 있을 것으로 보인다. 그런데 이 사건 폐기물처리사업계획서에 주변 환경에 대한 영향을 방지하기 위한 시설로서 구체적으로 기재되어 있는 것은 선별·분쇄과정에서 발생하는 비산먼지를 방지하기 위한 여과집진시설 1대뿐이다. 따라서 그것만으로는 폐기물처리시설로 인하여 발생할 수 있는 환경상의 악영향을 방지하는 것이 불가능하다고 본 피고의 판단이 불합리하다고 할 수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3) 원고는 위 폐기물처리시설로 매일 약 48t의 폐기물을 운반하고, 폐기물처리시설에서 약 30t의 가공된 제품을 출하할 예정이다. 폐기물 운반 및 제품 출하를 위하여 대형트럭이 빈번하게 출입하는 상황은 인근 지역의 교통 위험을 증가시키는 요인이 될 수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4) 환경이 오염되면 원상회복이 거의 불가능한 경우가 많아 사후적 규제만으로 환경오염으로 인한 피해를 회복하는 데 한계가 있다. 환경이 심각하게 오염될 우려가 있는 경우에는 이를 미리 방지하는 것이 중요한데, 현재 원고가 제출한 증거만으로는 ‘주민들의 건강이나 주변 환경에 영향을 미칠 우려’를 처분사유로 하는 반려처분에 비례의 원칙 위반 등 재량권을 일탈·남용한 위법이 있다고 단정하기 어렵다.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다. 따라서 원심으로서는 단순히 피고가 보완서류 미이행(주민동의서 미제출)을 이유로 반려처분을 하였다는 전제에서 그 반려처분에 재량권 일탈·남용의 위법이 있다고 단정할 것이 아니라, 원고로 하여금 폐기물처리시설 예정지의 자연환경, 기반시설과 인근의 주거시설, 상업시설, 산업시설, 근린생활시설 등의 위치, 규모 및 현황을 확인할 수 있는 자료 및 원고가 운영할 폐기물처리시설이 주민들의 건강과 주변 환경에 어떠한 영향을 주는지에 관한 주장 및 자료를 제출하게 하여 그 폐기물처리시설로 인한 ‘주민들의 건강이나 주변 환경에의 영향’의 유무 및 그 정도를 심리하였어야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그럼에도 원심은 그에 관한 조치를 취하거나 심리를 하지 않고, 곧바로 피고의 반려처분에 재량권을 일탈·남용한 위법이 있다고 판단하였다. 이러한 원심판단에는 폐기물관리법상 폐기물처리사업계획서 적합 통보 여부에 관한 심사기준과 그 범위, 불확정개념을 처분사유로 한 경우의 그 해석과 심리방법, 재량권 일탈·남용에 대한 주장·증명책임 등에 관한 법리를 오해하여 필요한 심리를 다하지 않음으로써 판결에 영향을 미친 잘못이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3.</w:t>
      </w:r>
    </w:p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3. 판결요지</w:t>
      </w:r>
    </w:p>
    <w:p>
      <w:r>
        <w:rPr>
          <w:rFonts w:ascii="맑은 고딕" w:hAnsi="맑은 고딕" w:eastAsia="맑은 고딕" w:cs="맑은 고딕"/>
          <w:color w:val="000000"/>
        </w:rPr>
        <w:t>[1] 행정청이 폐기물처리사업계획서의 적합 여부를 판단하는 방법 및 폐기물처리사업계획서의 적합 여부 결정에 관하여 행정청에 광범위한 재량권이 인정되는지 여부(적극) / 법원이 적합 여부 결정과 관련한 행정청의 재량권 일탈·남용 여부를 심사하는 방법 / 장래에 발생할 불확실한 상황과 파급효과에 대한 예측이 필요한 요건에 관한 행정청의 재량적 판단은 폭넓게 존중되어야 하는지 여부(원칙적 적극)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[2] 처분이 재량권을 일탈·남용했다는 사정에 관한 증명책임의 소재(=처분의 효력을 다투는 자) / 행정청이 처분서에 불확정개념으로 규정된 법령상 허가기준 등을 충족하지 못했다는 취지만 간략히 기재하여 폐기물처리사업계획서 반려 내지 부적합 통보를 한 경우, 이에 대한 취소소송절차에서 행정청이 구체적 불허가사유를 분명히 해야 하는지 여부(적극) 및 이 경우 원고는 구체적 불허가사유에 관한 판단과 근거에 재량권 일탈·남용의 위법을 밝히기 위해 소송절차에서 추가적인 주장과 자료를 제출할 필요가 있는지 여부(적극)</w:t>
      </w:r>
    </w:p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4. 참조 조문</w:t>
      </w:r>
    </w:p>
    <w:p>
      <w:r>
        <w:rPr>
          <w:rFonts w:ascii="맑은 고딕" w:hAnsi="맑은 고딕" w:eastAsia="맑은 고딕" w:cs="맑은 고딕"/>
          <w:color w:val="000000"/>
        </w:rPr>
        <w:t>[1] 폐기물관리법 제1조, 제25조 제1항, 제2항 제4호, 환경정책기본법 제12조 제1항, 제13조, 행정소송법 제27조 / [2] 행정소송법 제26조[증명책임], 제27조, 폐기물관리법 제25조 제1항, 제2항</w:t>
      </w:r>
    </w:p>
    <w:p>
      <w:pPr>
        <w:pStyle w:val="note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요약·정리한 참고자료이며, 구체적 사안은 판결 원문과 전문가 검토가 필요합니다.</w:t>
      </w:r>
    </w:p>
    <w:p>
      <w:pPr>
        <w:spacing w:before="160"/>
      </w:pPr>
      <w:r>
        <w:rPr>
          <w:rFonts w:ascii="맑은 고딕" w:hAnsi="맑은 고딕" w:eastAsia="맑은 고딕" w:cs="맑은 고딕"/>
          <w:color w:val="000000"/>
          <w:sz w:val="18"/>
        </w:rPr>
        <w:t>태그  #폐기물판례 #폐기물처리사업계획서 #반려처분 #행정판례 #대법원판례 #2023년판례 #2023두35661 #환경법 #환경인허가 #인허가서대리 #서대리</w:t>
      </w:r>
    </w:p>
    <w:p>
      <w:pPr>
        <w:pStyle w:val="mark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