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40"/>
      </w:pPr>
      <w:r>
        <w:rPr>
          <w:rFonts w:ascii="맑은 고딕" w:hAnsi="맑은 고딕" w:eastAsia="맑은 고딕"/>
          <w:b/>
          <w:color w:val="1F3864"/>
          <w:sz w:val="32"/>
        </w:rPr>
        <w:t>폐기물 처리업자의 보관량·보관기간 총정리</w:t>
      </w:r>
    </w:p>
    <w:p>
      <w:pPr>
        <w:pStyle w:val="law1"/>
      </w:pPr>
      <w:r>
        <w:rPr>
          <w:rFonts w:ascii="맑은 고딕" w:hAnsi="맑은 고딕" w:eastAsia="맑은 고딕"/>
        </w:rPr>
        <w:t>무엇을 근거로 30일이 되고, 무엇을 근거로 60일이 되는가</w:t>
      </w:r>
    </w:p>
    <w:p>
      <w:pPr>
        <w:spacing w:after="160"/>
      </w:pPr>
      <w:r>
        <w:rPr>
          <w:rFonts w:ascii="맑은 고딕" w:hAnsi="맑은 고딕" w:eastAsia="맑은 고딕"/>
          <w:color w:val="333333"/>
          <w:sz w:val="20"/>
        </w:rPr>
        <w:t>폐기물처리업자의 보관량과 보관기간은 폐기물관리법 제25조 제9항이 정한 준수사항이고, 그 구체적인 양과 기간은 같은 법 시행규칙 제31조 제1항이 호와 목으로 나누어 정합니다. 일부 항목은 자원의 절약과 재활용촉진에 관한 법률(이하 재활용법)을 함께 봅니다.</w:t>
      </w:r>
    </w:p>
    <w:p>
      <w:pPr>
        <w:pStyle w:val="2"/>
      </w:pPr>
      <w:r>
        <w:rPr>
          <w:rFonts w:ascii="맑은 고딕" w:hAnsi="맑은 고딕" w:eastAsia="맑은 고딕"/>
        </w:rPr>
        <w:t>1. 상위 근거 (법 제25조 제9항)</w:t>
      </w:r>
    </w:p>
    <w:tbl>
      <w:tblPr>
        <w:tblW w:w="5000" w:type="pct"/>
        <w:tblCellMar>
          <w:top w:w="50" w:type="dxa"/>
          <w:left w:w="100" w:type="dxa"/>
          <w:bottom w:w="50" w:type="dxa"/>
          <w:right w:w="100" w:type="dxa"/>
        </w:tblCellMar>
        <w:tblBorders>
          <w:top w:val="single" w:sz="22" w:space="0" w:color="000000"/>
          <w:left w:val="single" w:sz="22" w:space="0" w:color="000000"/>
          <w:bottom w:val="single" w:sz="22" w:space="0" w:color="000000"/>
          <w:right w:val="single" w:sz="22" w:space="0" w:color="000000"/>
          <w:insideH w:val="single" w:sz="4" w:space="0" w:color="B7B7B7"/>
          <w:insideV w:val="single" w:sz="4" w:space="0" w:color="B7B7B7"/>
        </w:tblBorders>
        <w:tblLook w:val="04A0" w:firstRow="1" w:lastRow="0" w:firstColumn="0" w:lastColumn="0" w:noHBand="0" w:noVBand="1"/>
      </w:tblPr>
      <w:tblGrid>
        <w:gridCol w:w="1980"/>
        <w:gridCol w:w="4680"/>
        <w:gridCol w:w="2340"/>
      </w:tblGrid>
      <w:tr>
        <w:tc>
          <w:tcPr>
            <w:tcW w:type="dxa" w:w="198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준수사항</w:t>
            </w:r>
          </w:p>
        </w:tc>
        <w:tc>
          <w:tcPr>
            <w:tcW w:type="dxa" w:w="468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내용</w:t>
            </w:r>
          </w:p>
        </w:tc>
        <w:tc>
          <w:tcPr>
            <w:tcW w:type="dxa" w:w="234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근거</w:t>
            </w:r>
          </w:p>
        </w:tc>
      </w:tr>
      <w:tr>
        <w:tc>
          <w:tcPr>
            <w:tcW w:type="dxa" w:w="1980"/>
            <w:vAlign w:val="center"/>
            <w:shd w:val="clear" w:color="auto" w:fill="F2F2F2"/>
          </w:tcPr>
          <w:p>
            <w:pPr>
              <w:spacing w:before="30" w:after="30" w:line="278" w:lineRule="auto"/>
              <w:jc w:val="center"/>
            </w:pPr>
            <w:r/>
            <w:r>
              <w:rPr>
                <w:rFonts w:ascii="맑은 고딕" w:hAnsi="맑은 고딕" w:eastAsia="맑은 고딕"/>
                <w:b/>
                <w:color w:val="1A1A1A"/>
                <w:sz w:val="18"/>
              </w:rPr>
              <w:t>보관 장소</w:t>
            </w:r>
          </w:p>
        </w:tc>
        <w:tc>
          <w:tcPr>
            <w:tcW w:type="dxa" w:w="4680"/>
            <w:vAlign w:val="center"/>
          </w:tcPr>
          <w:p>
            <w:pPr>
              <w:spacing w:before="30" w:after="30" w:line="278" w:lineRule="auto"/>
              <w:jc w:val="left"/>
            </w:pPr>
            <w:r/>
            <w:r>
              <w:rPr>
                <w:rFonts w:ascii="맑은 고딕" w:hAnsi="맑은 고딕" w:eastAsia="맑은 고딕"/>
                <w:b w:val="0"/>
                <w:color w:val="1A1A1A"/>
                <w:sz w:val="18"/>
              </w:rPr>
              <w:t>허가받은 사업장 내 보관시설이나 승인받은 임시보관시설 등 적정한 장소에 보관</w:t>
            </w:r>
          </w:p>
        </w:tc>
        <w:tc>
          <w:tcPr>
            <w:tcW w:type="dxa" w:w="2340"/>
            <w:vAlign w:val="center"/>
          </w:tcPr>
          <w:p>
            <w:pPr>
              <w:spacing w:before="30" w:after="30" w:line="278" w:lineRule="auto"/>
              <w:jc w:val="left"/>
            </w:pPr>
            <w:r/>
            <w:r>
              <w:rPr>
                <w:rFonts w:ascii="맑은 고딕" w:hAnsi="맑은 고딕" w:eastAsia="맑은 고딕"/>
                <w:b w:val="0"/>
                <w:color w:val="1A1A1A"/>
                <w:sz w:val="18"/>
              </w:rPr>
              <w:t>폐기물관리법 제25조 제9항 제1호</w:t>
            </w:r>
          </w:p>
        </w:tc>
      </w:tr>
      <w:tr>
        <w:tc>
          <w:tcPr>
            <w:tcW w:type="dxa" w:w="1980"/>
            <w:vAlign w:val="center"/>
            <w:shd w:val="clear" w:color="auto" w:fill="F2F2F2"/>
          </w:tcPr>
          <w:p>
            <w:pPr>
              <w:spacing w:before="30" w:after="30" w:line="278" w:lineRule="auto"/>
              <w:jc w:val="center"/>
            </w:pPr>
            <w:r/>
            <w:r>
              <w:rPr>
                <w:rFonts w:ascii="맑은 고딕" w:hAnsi="맑은 고딕" w:eastAsia="맑은 고딕"/>
                <w:b/>
                <w:color w:val="1A1A1A"/>
                <w:sz w:val="18"/>
              </w:rPr>
              <w:t>보관량·보관기간</w:t>
            </w:r>
          </w:p>
        </w:tc>
        <w:tc>
          <w:tcPr>
            <w:tcW w:type="dxa" w:w="4680"/>
            <w:vAlign w:val="center"/>
          </w:tcPr>
          <w:p>
            <w:pPr>
              <w:spacing w:before="30" w:after="30" w:line="278" w:lineRule="auto"/>
              <w:jc w:val="left"/>
            </w:pPr>
            <w:r/>
            <w:r>
              <w:rPr>
                <w:rFonts w:ascii="맑은 고딕" w:hAnsi="맑은 고딕" w:eastAsia="맑은 고딕"/>
                <w:b w:val="0"/>
                <w:color w:val="1A1A1A"/>
                <w:sz w:val="18"/>
              </w:rPr>
              <w:t>환경부령으로 정하는 양 또는 기간을 초과하여 보관하지 말 것</w:t>
            </w:r>
          </w:p>
        </w:tc>
        <w:tc>
          <w:tcPr>
            <w:tcW w:type="dxa" w:w="2340"/>
            <w:vAlign w:val="center"/>
          </w:tcPr>
          <w:p>
            <w:pPr>
              <w:spacing w:before="30" w:after="30" w:line="278" w:lineRule="auto"/>
              <w:jc w:val="left"/>
            </w:pPr>
            <w:r/>
            <w:r>
              <w:rPr>
                <w:rFonts w:ascii="맑은 고딕" w:hAnsi="맑은 고딕" w:eastAsia="맑은 고딕"/>
                <w:b w:val="0"/>
                <w:color w:val="1A1A1A"/>
                <w:sz w:val="18"/>
              </w:rPr>
              <w:t>폐기물관리법 제25조 제9항 제2호</w:t>
            </w:r>
          </w:p>
        </w:tc>
      </w:tr>
      <w:tr>
        <w:tc>
          <w:tcPr>
            <w:tcW w:type="dxa" w:w="1980"/>
            <w:vAlign w:val="center"/>
            <w:shd w:val="clear" w:color="auto" w:fill="F2F2F2"/>
          </w:tcPr>
          <w:p>
            <w:pPr>
              <w:spacing w:before="30" w:after="30" w:line="278" w:lineRule="auto"/>
              <w:jc w:val="center"/>
            </w:pPr>
            <w:r/>
            <w:r>
              <w:rPr>
                <w:rFonts w:ascii="맑은 고딕" w:hAnsi="맑은 고딕" w:eastAsia="맑은 고딕"/>
                <w:b/>
                <w:color w:val="1A1A1A"/>
                <w:sz w:val="18"/>
              </w:rPr>
              <w:t>→ 위임</w:t>
            </w:r>
          </w:p>
        </w:tc>
        <w:tc>
          <w:tcPr>
            <w:tcW w:type="dxa" w:w="4680"/>
            <w:vAlign w:val="center"/>
          </w:tcPr>
          <w:p>
            <w:pPr>
              <w:spacing w:before="30" w:after="30" w:line="278" w:lineRule="auto"/>
              <w:jc w:val="left"/>
            </w:pPr>
            <w:r/>
            <w:r>
              <w:rPr>
                <w:rFonts w:ascii="맑은 고딕" w:hAnsi="맑은 고딕" w:eastAsia="맑은 고딕"/>
                <w:b w:val="0"/>
                <w:color w:val="1A1A1A"/>
                <w:sz w:val="18"/>
              </w:rPr>
              <w:t>보관량·보관기간의 구체적 기준</w:t>
            </w:r>
          </w:p>
        </w:tc>
        <w:tc>
          <w:tcPr>
            <w:tcW w:type="dxa" w:w="2340"/>
            <w:vAlign w:val="center"/>
          </w:tcPr>
          <w:p>
            <w:pPr>
              <w:spacing w:before="30" w:after="30" w:line="278" w:lineRule="auto"/>
              <w:jc w:val="left"/>
            </w:pPr>
            <w:r/>
            <w:r>
              <w:rPr>
                <w:rFonts w:ascii="맑은 고딕" w:hAnsi="맑은 고딕" w:eastAsia="맑은 고딕"/>
                <w:b w:val="0"/>
                <w:color w:val="1A1A1A"/>
                <w:sz w:val="18"/>
              </w:rPr>
              <w:t>폐기물관리법 시행규칙 제31조 제1항</w:t>
            </w:r>
          </w:p>
        </w:tc>
      </w:tr>
    </w:tbl>
    <w:p>
      <w:pPr>
        <w:spacing w:after="100"/>
      </w:pPr>
    </w:p>
    <w:p>
      <w:pPr>
        <w:pStyle w:val="2"/>
      </w:pPr>
      <w:r>
        <w:rPr>
          <w:rFonts w:ascii="맑은 고딕" w:hAnsi="맑은 고딕" w:eastAsia="맑은 고딕"/>
        </w:rPr>
        <w:t>2. 업종·유형별 보관량과 보관기간</w:t>
      </w:r>
    </w:p>
    <w:p>
      <w:pPr>
        <w:spacing w:after="80"/>
      </w:pPr>
      <w:r>
        <w:rPr>
          <w:rFonts w:ascii="맑은 고딕" w:hAnsi="맑은 고딕" w:eastAsia="맑은 고딕"/>
          <w:color w:val="777777"/>
          <w:sz w:val="18"/>
        </w:rPr>
        <w:t>근거란은 모두 '폐기물관리법 시행규칙 제31조 제1항'의 호·목 위치입니다.</w:t>
      </w:r>
    </w:p>
    <w:tbl>
      <w:tblPr>
        <w:tblW w:w="5000" w:type="pct"/>
        <w:tblCellMar>
          <w:top w:w="50" w:type="dxa"/>
          <w:left w:w="100" w:type="dxa"/>
          <w:bottom w:w="50" w:type="dxa"/>
          <w:right w:w="100" w:type="dxa"/>
        </w:tblCellMar>
        <w:tblBorders>
          <w:top w:val="single" w:sz="22" w:space="0" w:color="000000"/>
          <w:left w:val="single" w:sz="22" w:space="0" w:color="000000"/>
          <w:bottom w:val="single" w:sz="22" w:space="0" w:color="000000"/>
          <w:right w:val="single" w:sz="22" w:space="0" w:color="000000"/>
          <w:insideH w:val="single" w:sz="4" w:space="0" w:color="B7B7B7"/>
          <w:insideV w:val="single" w:sz="4" w:space="0" w:color="B7B7B7"/>
        </w:tblBorders>
        <w:tblLook w:val="04A0" w:firstRow="1" w:lastRow="0" w:firstColumn="0" w:lastColumn="0" w:noHBand="0" w:noVBand="1"/>
      </w:tblPr>
      <w:tblGrid>
        <w:gridCol w:w="3240"/>
        <w:gridCol w:w="2340"/>
        <w:gridCol w:w="1800"/>
        <w:gridCol w:w="1620"/>
      </w:tblGrid>
      <w:tr>
        <w:tc>
          <w:tcPr>
            <w:tcW w:type="dxa" w:w="324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업종 · 유형</w:t>
            </w:r>
          </w:p>
        </w:tc>
        <w:tc>
          <w:tcPr>
            <w:tcW w:type="dxa" w:w="234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보관량</w:t>
            </w:r>
          </w:p>
        </w:tc>
        <w:tc>
          <w:tcPr>
            <w:tcW w:type="dxa" w:w="180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보관기간</w:t>
            </w:r>
          </w:p>
        </w:tc>
        <w:tc>
          <w:tcPr>
            <w:tcW w:type="dxa" w:w="162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근거</w:t>
            </w:r>
          </w:p>
        </w:tc>
      </w:tr>
      <w:tr>
        <w:tc>
          <w:tcPr>
            <w:tcW w:type="dxa" w:w="3240"/>
            <w:vAlign w:val="center"/>
            <w:shd w:val="clear" w:color="auto" w:fill="F2F2F2"/>
          </w:tcPr>
          <w:p>
            <w:pPr>
              <w:spacing w:before="30" w:after="30" w:line="278" w:lineRule="auto"/>
              <w:jc w:val="center"/>
            </w:pPr>
            <w:r/>
            <w:r>
              <w:rPr>
                <w:rFonts w:ascii="맑은 고딕" w:hAnsi="맑은 고딕" w:eastAsia="맑은 고딕"/>
                <w:b/>
                <w:color w:val="1A1A1A"/>
                <w:sz w:val="18"/>
              </w:rPr>
              <w:t>수집운반업 임시보관 (의료폐기물)</w:t>
            </w:r>
          </w:p>
        </w:tc>
        <w:tc>
          <w:tcPr>
            <w:tcW w:type="dxa" w:w="2340"/>
            <w:vAlign w:val="center"/>
          </w:tcPr>
          <w:p>
            <w:pPr>
              <w:spacing w:before="30" w:after="30" w:line="278" w:lineRule="auto"/>
              <w:jc w:val="left"/>
            </w:pPr>
            <w:r/>
            <w:r>
              <w:rPr>
                <w:rFonts w:ascii="맑은 고딕" w:hAnsi="맑은 고딕" w:eastAsia="맑은 고딕"/>
                <w:b w:val="0"/>
                <w:color w:val="1A1A1A"/>
                <w:sz w:val="18"/>
              </w:rPr>
              <w:t>냉장 4도 이하 전용시설 기준</w:t>
            </w:r>
          </w:p>
        </w:tc>
        <w:tc>
          <w:tcPr>
            <w:tcW w:type="dxa" w:w="1800"/>
            <w:vAlign w:val="center"/>
          </w:tcPr>
          <w:p>
            <w:pPr>
              <w:spacing w:before="30" w:after="30" w:line="278" w:lineRule="auto"/>
              <w:jc w:val="left"/>
            </w:pPr>
            <w:r/>
            <w:r>
              <w:rPr>
                <w:rFonts w:ascii="맑은 고딕" w:hAnsi="맑은 고딕" w:eastAsia="맑은 고딕"/>
                <w:b w:val="0"/>
                <w:color w:val="1A1A1A"/>
                <w:sz w:val="18"/>
              </w:rPr>
              <w:t>5일 이내</w:t>
            </w:r>
            <w:r>
              <w:br/>
            </w:r>
            <w:r>
              <w:rPr>
                <w:rFonts w:ascii="맑은 고딕" w:hAnsi="맑은 고딕" w:eastAsia="맑은 고딕"/>
                <w:b w:val="0"/>
                <w:color w:val="1A1A1A"/>
                <w:sz w:val="18"/>
              </w:rPr>
              <w:t>(그 밖·격리 2일)</w:t>
            </w:r>
          </w:p>
        </w:tc>
        <w:tc>
          <w:tcPr>
            <w:tcW w:type="dxa" w:w="1620"/>
            <w:vAlign w:val="center"/>
          </w:tcPr>
          <w:p>
            <w:pPr>
              <w:spacing w:before="30" w:after="30" w:line="278" w:lineRule="auto"/>
              <w:jc w:val="left"/>
            </w:pPr>
            <w:r/>
            <w:r>
              <w:rPr>
                <w:rFonts w:ascii="맑은 고딕" w:hAnsi="맑은 고딕" w:eastAsia="맑은 고딕"/>
                <w:b w:val="0"/>
                <w:color w:val="1A1A1A"/>
                <w:sz w:val="18"/>
              </w:rPr>
              <w:t>제1호 가목</w:t>
            </w:r>
          </w:p>
        </w:tc>
      </w:tr>
      <w:tr>
        <w:tc>
          <w:tcPr>
            <w:tcW w:type="dxa" w:w="3240"/>
            <w:vAlign w:val="center"/>
            <w:shd w:val="clear" w:color="auto" w:fill="F2F2F2"/>
          </w:tcPr>
          <w:p>
            <w:pPr>
              <w:spacing w:before="30" w:after="30" w:line="278" w:lineRule="auto"/>
              <w:jc w:val="center"/>
            </w:pPr>
            <w:r/>
            <w:r>
              <w:rPr>
                <w:rFonts w:ascii="맑은 고딕" w:hAnsi="맑은 고딕" w:eastAsia="맑은 고딕"/>
                <w:b/>
                <w:color w:val="1A1A1A"/>
                <w:sz w:val="18"/>
              </w:rPr>
              <w:t>수집운반업 임시보관 (의료 외)</w:t>
            </w:r>
          </w:p>
        </w:tc>
        <w:tc>
          <w:tcPr>
            <w:tcW w:type="dxa" w:w="2340"/>
            <w:vAlign w:val="center"/>
          </w:tcPr>
          <w:p>
            <w:pPr>
              <w:spacing w:before="30" w:after="30" w:line="278" w:lineRule="auto"/>
              <w:jc w:val="left"/>
            </w:pPr>
            <w:r/>
            <w:r>
              <w:rPr>
                <w:rFonts w:ascii="맑은 고딕" w:hAnsi="맑은 고딕" w:eastAsia="맑은 고딕"/>
                <w:b w:val="0"/>
                <w:color w:val="1A1A1A"/>
                <w:sz w:val="18"/>
              </w:rPr>
              <w:t>중량 450톤·용적 300㎥ 이하</w:t>
            </w:r>
          </w:p>
        </w:tc>
        <w:tc>
          <w:tcPr>
            <w:tcW w:type="dxa" w:w="1800"/>
            <w:vAlign w:val="center"/>
          </w:tcPr>
          <w:p>
            <w:pPr>
              <w:spacing w:before="30" w:after="30" w:line="278" w:lineRule="auto"/>
              <w:jc w:val="left"/>
            </w:pPr>
            <w:r/>
            <w:r>
              <w:rPr>
                <w:rFonts w:ascii="맑은 고딕" w:hAnsi="맑은 고딕" w:eastAsia="맑은 고딕"/>
                <w:b w:val="0"/>
                <w:color w:val="1A1A1A"/>
                <w:sz w:val="18"/>
              </w:rPr>
              <w:t>5일 이내</w:t>
            </w:r>
          </w:p>
        </w:tc>
        <w:tc>
          <w:tcPr>
            <w:tcW w:type="dxa" w:w="1620"/>
            <w:vAlign w:val="center"/>
          </w:tcPr>
          <w:p>
            <w:pPr>
              <w:spacing w:before="30" w:after="30" w:line="278" w:lineRule="auto"/>
              <w:jc w:val="left"/>
            </w:pPr>
            <w:r/>
            <w:r>
              <w:rPr>
                <w:rFonts w:ascii="맑은 고딕" w:hAnsi="맑은 고딕" w:eastAsia="맑은 고딕"/>
                <w:b w:val="0"/>
                <w:color w:val="1A1A1A"/>
                <w:sz w:val="18"/>
              </w:rPr>
              <w:t>제1호 나목</w:t>
            </w:r>
          </w:p>
        </w:tc>
      </w:tr>
      <w:tr>
        <w:tc>
          <w:tcPr>
            <w:tcW w:type="dxa" w:w="3240"/>
            <w:vAlign w:val="center"/>
            <w:shd w:val="clear" w:color="auto" w:fill="F2F2F2"/>
          </w:tcPr>
          <w:p>
            <w:pPr>
              <w:spacing w:before="30" w:after="30" w:line="278" w:lineRule="auto"/>
              <w:jc w:val="center"/>
            </w:pPr>
            <w:r/>
            <w:r>
              <w:rPr>
                <w:rFonts w:ascii="맑은 고딕" w:hAnsi="맑은 고딕" w:eastAsia="맑은 고딕"/>
                <w:b/>
                <w:color w:val="1A1A1A"/>
                <w:sz w:val="18"/>
              </w:rPr>
              <w:t>재활용업 승인 임시보관 (폐전주)</w:t>
            </w:r>
          </w:p>
        </w:tc>
        <w:tc>
          <w:tcPr>
            <w:tcW w:type="dxa" w:w="2340"/>
            <w:vAlign w:val="center"/>
          </w:tcPr>
          <w:p>
            <w:pPr>
              <w:spacing w:before="30" w:after="30" w:line="278" w:lineRule="auto"/>
              <w:jc w:val="left"/>
            </w:pPr>
            <w:r/>
            <w:r>
              <w:rPr>
                <w:rFonts w:ascii="맑은 고딕" w:hAnsi="맑은 고딕" w:eastAsia="맑은 고딕"/>
                <w:b w:val="0"/>
                <w:color w:val="1A1A1A"/>
                <w:sz w:val="18"/>
              </w:rPr>
              <w:t>3~11월 50톤 / 12~2월 100톤 미만</w:t>
            </w:r>
          </w:p>
        </w:tc>
        <w:tc>
          <w:tcPr>
            <w:tcW w:type="dxa" w:w="1800"/>
            <w:vAlign w:val="center"/>
          </w:tcPr>
          <w:p>
            <w:pPr>
              <w:spacing w:before="30" w:after="30" w:line="278" w:lineRule="auto"/>
              <w:jc w:val="left"/>
            </w:pPr>
            <w:r/>
            <w:r>
              <w:rPr>
                <w:rFonts w:ascii="맑은 고딕" w:hAnsi="맑은 고딕" w:eastAsia="맑은 고딕"/>
                <w:b w:val="0"/>
                <w:color w:val="1A1A1A"/>
                <w:sz w:val="18"/>
              </w:rPr>
              <w:t>승인 조건</w:t>
            </w:r>
          </w:p>
        </w:tc>
        <w:tc>
          <w:tcPr>
            <w:tcW w:type="dxa" w:w="1620"/>
            <w:vAlign w:val="center"/>
          </w:tcPr>
          <w:p>
            <w:pPr>
              <w:spacing w:before="30" w:after="30" w:line="278" w:lineRule="auto"/>
              <w:jc w:val="left"/>
            </w:pPr>
            <w:r/>
            <w:r>
              <w:rPr>
                <w:rFonts w:ascii="맑은 고딕" w:hAnsi="맑은 고딕" w:eastAsia="맑은 고딕"/>
                <w:b w:val="0"/>
                <w:color w:val="1A1A1A"/>
                <w:sz w:val="18"/>
              </w:rPr>
              <w:t>제2호 가목</w:t>
            </w:r>
          </w:p>
        </w:tc>
      </w:tr>
      <w:tr>
        <w:tc>
          <w:tcPr>
            <w:tcW w:type="dxa" w:w="3240"/>
            <w:vAlign w:val="center"/>
            <w:shd w:val="clear" w:color="auto" w:fill="F2F2F2"/>
          </w:tcPr>
          <w:p>
            <w:pPr>
              <w:spacing w:before="30" w:after="30" w:line="278" w:lineRule="auto"/>
              <w:jc w:val="center"/>
            </w:pPr>
            <w:r/>
            <w:r>
              <w:rPr>
                <w:rFonts w:ascii="맑은 고딕" w:hAnsi="맑은 고딕" w:eastAsia="맑은 고딕"/>
                <w:b/>
                <w:color w:val="1A1A1A"/>
                <w:sz w:val="18"/>
              </w:rPr>
              <w:t>재활용업 승인 임시보관 (동물성 잔재물)</w:t>
            </w:r>
          </w:p>
        </w:tc>
        <w:tc>
          <w:tcPr>
            <w:tcW w:type="dxa" w:w="2340"/>
            <w:vAlign w:val="center"/>
          </w:tcPr>
          <w:p>
            <w:pPr>
              <w:spacing w:before="30" w:after="30" w:line="278" w:lineRule="auto"/>
              <w:jc w:val="left"/>
            </w:pPr>
            <w:r/>
            <w:r>
              <w:rPr>
                <w:rFonts w:ascii="맑은 고딕" w:hAnsi="맑은 고딕" w:eastAsia="맑은 고딕"/>
                <w:b w:val="0"/>
                <w:color w:val="1A1A1A"/>
                <w:sz w:val="18"/>
              </w:rPr>
              <w:t>중량 150톤 미만</w:t>
            </w:r>
          </w:p>
        </w:tc>
        <w:tc>
          <w:tcPr>
            <w:tcW w:type="dxa" w:w="1800"/>
            <w:vAlign w:val="center"/>
          </w:tcPr>
          <w:p>
            <w:pPr>
              <w:spacing w:before="30" w:after="30" w:line="278" w:lineRule="auto"/>
              <w:jc w:val="left"/>
            </w:pPr>
            <w:r/>
            <w:r>
              <w:rPr>
                <w:rFonts w:ascii="맑은 고딕" w:hAnsi="맑은 고딕" w:eastAsia="맑은 고딕"/>
                <w:b w:val="0"/>
                <w:color w:val="1A1A1A"/>
                <w:sz w:val="18"/>
              </w:rPr>
              <w:t>1일 이내</w:t>
            </w:r>
          </w:p>
        </w:tc>
        <w:tc>
          <w:tcPr>
            <w:tcW w:type="dxa" w:w="1620"/>
            <w:vAlign w:val="center"/>
          </w:tcPr>
          <w:p>
            <w:pPr>
              <w:spacing w:before="30" w:after="30" w:line="278" w:lineRule="auto"/>
              <w:jc w:val="left"/>
            </w:pPr>
            <w:r/>
            <w:r>
              <w:rPr>
                <w:rFonts w:ascii="맑은 고딕" w:hAnsi="맑은 고딕" w:eastAsia="맑은 고딕"/>
                <w:b w:val="0"/>
                <w:color w:val="1A1A1A"/>
                <w:sz w:val="18"/>
              </w:rPr>
              <w:t>제2호 나목</w:t>
            </w:r>
          </w:p>
        </w:tc>
      </w:tr>
      <w:tr>
        <w:tc>
          <w:tcPr>
            <w:tcW w:type="dxa" w:w="3240"/>
            <w:vAlign w:val="center"/>
            <w:shd w:val="clear" w:color="auto" w:fill="F2F2F2"/>
          </w:tcPr>
          <w:p>
            <w:pPr>
              <w:spacing w:before="30" w:after="30" w:line="278" w:lineRule="auto"/>
              <w:jc w:val="center"/>
            </w:pPr>
            <w:r/>
            <w:r>
              <w:rPr>
                <w:rFonts w:ascii="맑은 고딕" w:hAnsi="맑은 고딕" w:eastAsia="맑은 고딕"/>
                <w:b/>
                <w:color w:val="1A1A1A"/>
                <w:sz w:val="18"/>
              </w:rPr>
              <w:t>재활용업 승인 임시보관 (수액팩·수액병)</w:t>
            </w:r>
          </w:p>
        </w:tc>
        <w:tc>
          <w:tcPr>
            <w:tcW w:type="dxa" w:w="2340"/>
            <w:vAlign w:val="center"/>
          </w:tcPr>
          <w:p>
            <w:pPr>
              <w:spacing w:before="30" w:after="30" w:line="278" w:lineRule="auto"/>
              <w:jc w:val="left"/>
            </w:pPr>
            <w:r/>
            <w:r>
              <w:rPr>
                <w:rFonts w:ascii="맑은 고딕" w:hAnsi="맑은 고딕" w:eastAsia="맑은 고딕"/>
                <w:b w:val="0"/>
                <w:color w:val="1A1A1A"/>
                <w:sz w:val="18"/>
              </w:rPr>
              <w:t>중량 5톤 미만</w:t>
            </w:r>
          </w:p>
        </w:tc>
        <w:tc>
          <w:tcPr>
            <w:tcW w:type="dxa" w:w="1800"/>
            <w:vAlign w:val="center"/>
          </w:tcPr>
          <w:p>
            <w:pPr>
              <w:spacing w:before="30" w:after="30" w:line="278" w:lineRule="auto"/>
              <w:jc w:val="left"/>
            </w:pPr>
            <w:r/>
            <w:r>
              <w:rPr>
                <w:rFonts w:ascii="맑은 고딕" w:hAnsi="맑은 고딕" w:eastAsia="맑은 고딕"/>
                <w:b w:val="0"/>
                <w:color w:val="1A1A1A"/>
                <w:sz w:val="18"/>
              </w:rPr>
              <w:t>5일 이내</w:t>
            </w:r>
          </w:p>
        </w:tc>
        <w:tc>
          <w:tcPr>
            <w:tcW w:type="dxa" w:w="1620"/>
            <w:vAlign w:val="center"/>
          </w:tcPr>
          <w:p>
            <w:pPr>
              <w:spacing w:before="30" w:after="30" w:line="278" w:lineRule="auto"/>
              <w:jc w:val="left"/>
            </w:pPr>
            <w:r/>
            <w:r>
              <w:rPr>
                <w:rFonts w:ascii="맑은 고딕" w:hAnsi="맑은 고딕" w:eastAsia="맑은 고딕"/>
                <w:b w:val="0"/>
                <w:color w:val="1A1A1A"/>
                <w:sz w:val="18"/>
              </w:rPr>
              <w:t>제2호 다목</w:t>
            </w:r>
          </w:p>
        </w:tc>
      </w:tr>
      <w:tr>
        <w:tc>
          <w:tcPr>
            <w:tcW w:type="dxa" w:w="3240"/>
            <w:vAlign w:val="center"/>
            <w:shd w:val="clear" w:color="auto" w:fill="E0E0E0"/>
          </w:tcPr>
          <w:p>
            <w:pPr>
              <w:spacing w:before="30" w:after="30" w:line="278" w:lineRule="auto"/>
              <w:jc w:val="left"/>
            </w:pPr>
            <w:r/>
            <w:r>
              <w:rPr>
                <w:rFonts w:ascii="맑은 고딕" w:hAnsi="맑은 고딕" w:eastAsia="맑은 고딕"/>
                <w:b/>
                <w:color w:val="1A1A1A"/>
                <w:sz w:val="18"/>
              </w:rPr>
              <w:t>재활용 (특정 무기성 계열)</w:t>
            </w:r>
          </w:p>
        </w:tc>
        <w:tc>
          <w:tcPr>
            <w:tcW w:type="dxa" w:w="2340"/>
            <w:vAlign w:val="center"/>
          </w:tcPr>
          <w:p>
            <w:pPr>
              <w:spacing w:before="30" w:after="30" w:line="278" w:lineRule="auto"/>
              <w:jc w:val="left"/>
            </w:pPr>
            <w:r/>
            <w:r>
              <w:rPr>
                <w:rFonts w:ascii="맑은 고딕" w:hAnsi="맑은 고딕" w:eastAsia="맑은 고딕"/>
                <w:b w:val="0"/>
                <w:color w:val="1A1A1A"/>
                <w:sz w:val="18"/>
              </w:rPr>
              <w:t>1일 재활용량의 60일분 이하</w:t>
            </w:r>
          </w:p>
        </w:tc>
        <w:tc>
          <w:tcPr>
            <w:tcW w:type="dxa" w:w="1800"/>
            <w:vAlign w:val="center"/>
          </w:tcPr>
          <w:p>
            <w:pPr>
              <w:spacing w:before="30" w:after="30" w:line="278" w:lineRule="auto"/>
              <w:jc w:val="left"/>
            </w:pPr>
            <w:r/>
            <w:r>
              <w:rPr>
                <w:rFonts w:ascii="맑은 고딕" w:hAnsi="맑은 고딕" w:eastAsia="맑은 고딕"/>
                <w:b w:val="0"/>
                <w:color w:val="1A1A1A"/>
                <w:sz w:val="18"/>
              </w:rPr>
              <w:t>60일 이내</w:t>
            </w:r>
          </w:p>
        </w:tc>
        <w:tc>
          <w:tcPr>
            <w:tcW w:type="dxa" w:w="1620"/>
            <w:vAlign w:val="center"/>
          </w:tcPr>
          <w:p>
            <w:pPr>
              <w:spacing w:before="30" w:after="30" w:line="278" w:lineRule="auto"/>
              <w:jc w:val="left"/>
            </w:pPr>
            <w:r/>
            <w:r>
              <w:rPr>
                <w:rFonts w:ascii="맑은 고딕" w:hAnsi="맑은 고딕" w:eastAsia="맑은 고딕"/>
                <w:b w:val="0"/>
                <w:color w:val="1A1A1A"/>
                <w:sz w:val="18"/>
              </w:rPr>
              <w:t>제3호 가목</w:t>
            </w:r>
          </w:p>
        </w:tc>
      </w:tr>
      <w:tr>
        <w:tc>
          <w:tcPr>
            <w:tcW w:type="dxa" w:w="3240"/>
            <w:vAlign w:val="center"/>
            <w:shd w:val="clear" w:color="auto" w:fill="ECECEC"/>
          </w:tcPr>
          <w:p>
            <w:pPr>
              <w:spacing w:before="30" w:after="30" w:line="278" w:lineRule="auto"/>
              <w:jc w:val="left"/>
            </w:pPr>
            <w:r/>
            <w:r>
              <w:rPr>
                <w:rFonts w:ascii="맑은 고딕" w:hAnsi="맑은 고딕" w:eastAsia="맑은 고딕"/>
                <w:b/>
                <w:color w:val="1A1A1A"/>
                <w:sz w:val="18"/>
              </w:rPr>
              <w:t>재활용 (수입·이차전지·태양광 등)</w:t>
            </w:r>
          </w:p>
        </w:tc>
        <w:tc>
          <w:tcPr>
            <w:tcW w:type="dxa" w:w="2340"/>
            <w:vAlign w:val="center"/>
          </w:tcPr>
          <w:p>
            <w:pPr>
              <w:spacing w:before="30" w:after="30" w:line="278" w:lineRule="auto"/>
              <w:jc w:val="left"/>
            </w:pPr>
            <w:r/>
            <w:r>
              <w:rPr>
                <w:rFonts w:ascii="맑은 고딕" w:hAnsi="맑은 고딕" w:eastAsia="맑은 고딕"/>
                <w:b w:val="0"/>
                <w:color w:val="1A1A1A"/>
                <w:sz w:val="18"/>
              </w:rPr>
              <w:t>1일 재활용량의 180일분 이하</w:t>
            </w:r>
          </w:p>
        </w:tc>
        <w:tc>
          <w:tcPr>
            <w:tcW w:type="dxa" w:w="1800"/>
            <w:vAlign w:val="center"/>
          </w:tcPr>
          <w:p>
            <w:pPr>
              <w:spacing w:before="30" w:after="30" w:line="278" w:lineRule="auto"/>
              <w:jc w:val="left"/>
            </w:pPr>
            <w:r/>
            <w:r>
              <w:rPr>
                <w:rFonts w:ascii="맑은 고딕" w:hAnsi="맑은 고딕" w:eastAsia="맑은 고딕"/>
                <w:b w:val="0"/>
                <w:color w:val="1A1A1A"/>
                <w:sz w:val="18"/>
              </w:rPr>
              <w:t>180일 이내</w:t>
            </w:r>
          </w:p>
        </w:tc>
        <w:tc>
          <w:tcPr>
            <w:tcW w:type="dxa" w:w="1620"/>
            <w:vAlign w:val="center"/>
          </w:tcPr>
          <w:p>
            <w:pPr>
              <w:spacing w:before="30" w:after="30" w:line="278" w:lineRule="auto"/>
              <w:jc w:val="left"/>
            </w:pPr>
            <w:r/>
            <w:r>
              <w:rPr>
                <w:rFonts w:ascii="맑은 고딕" w:hAnsi="맑은 고딕" w:eastAsia="맑은 고딕"/>
                <w:b w:val="0"/>
                <w:color w:val="1A1A1A"/>
                <w:sz w:val="18"/>
              </w:rPr>
              <w:t>제3호 나목</w:t>
            </w:r>
          </w:p>
        </w:tc>
      </w:tr>
      <w:tr>
        <w:tc>
          <w:tcPr>
            <w:tcW w:type="dxa" w:w="3240"/>
            <w:vAlign w:val="center"/>
            <w:shd w:val="clear" w:color="auto" w:fill="D2D2D2"/>
          </w:tcPr>
          <w:p>
            <w:pPr>
              <w:spacing w:before="30" w:after="30" w:line="278" w:lineRule="auto"/>
              <w:jc w:val="left"/>
            </w:pPr>
            <w:r/>
            <w:r>
              <w:rPr>
                <w:rFonts w:ascii="맑은 고딕" w:hAnsi="맑은 고딕" w:eastAsia="맑은 고딕"/>
                <w:b/>
                <w:color w:val="1A1A1A"/>
                <w:sz w:val="18"/>
              </w:rPr>
              <w:t>일반 보관 (재활용·중간처분·종합처분)</w:t>
            </w:r>
          </w:p>
        </w:tc>
        <w:tc>
          <w:tcPr>
            <w:tcW w:type="dxa" w:w="2340"/>
            <w:vAlign w:val="center"/>
          </w:tcPr>
          <w:p>
            <w:pPr>
              <w:spacing w:before="30" w:after="30" w:line="278" w:lineRule="auto"/>
              <w:jc w:val="left"/>
            </w:pPr>
            <w:r/>
            <w:r>
              <w:rPr>
                <w:rFonts w:ascii="맑은 고딕" w:hAnsi="맑은 고딕" w:eastAsia="맑은 고딕"/>
                <w:b w:val="0"/>
                <w:color w:val="1A1A1A"/>
                <w:sz w:val="18"/>
              </w:rPr>
              <w:t>1일 처리용량의 30일분 이하</w:t>
            </w:r>
          </w:p>
        </w:tc>
        <w:tc>
          <w:tcPr>
            <w:tcW w:type="dxa" w:w="1800"/>
            <w:vAlign w:val="center"/>
          </w:tcPr>
          <w:p>
            <w:pPr>
              <w:spacing w:before="30" w:after="30" w:line="278" w:lineRule="auto"/>
              <w:jc w:val="left"/>
            </w:pPr>
            <w:r/>
            <w:r>
              <w:rPr>
                <w:rFonts w:ascii="맑은 고딕" w:hAnsi="맑은 고딕" w:eastAsia="맑은 고딕"/>
                <w:b w:val="0"/>
                <w:color w:val="1A1A1A"/>
                <w:sz w:val="18"/>
              </w:rPr>
              <w:t>30일 이내</w:t>
            </w:r>
            <w:r>
              <w:br/>
            </w:r>
            <w:r>
              <w:rPr>
                <w:rFonts w:ascii="맑은 고딕" w:hAnsi="맑은 고딕" w:eastAsia="맑은 고딕"/>
                <w:b w:val="0"/>
                <w:color w:val="1A1A1A"/>
                <w:sz w:val="18"/>
              </w:rPr>
              <w:t>(폐석면 매립 구획 6개월)</w:t>
            </w:r>
          </w:p>
        </w:tc>
        <w:tc>
          <w:tcPr>
            <w:tcW w:type="dxa" w:w="1620"/>
            <w:vAlign w:val="center"/>
          </w:tcPr>
          <w:p>
            <w:pPr>
              <w:spacing w:before="30" w:after="30" w:line="278" w:lineRule="auto"/>
              <w:jc w:val="left"/>
            </w:pPr>
            <w:r/>
            <w:r>
              <w:rPr>
                <w:rFonts w:ascii="맑은 고딕" w:hAnsi="맑은 고딕" w:eastAsia="맑은 고딕"/>
                <w:b w:val="0"/>
                <w:color w:val="1A1A1A"/>
                <w:sz w:val="18"/>
              </w:rPr>
              <w:t>제4호</w:t>
            </w:r>
          </w:p>
        </w:tc>
      </w:tr>
      <w:tr>
        <w:tc>
          <w:tcPr>
            <w:tcW w:type="dxa" w:w="3240"/>
            <w:vAlign w:val="center"/>
            <w:shd w:val="clear" w:color="auto" w:fill="F2F2F2"/>
          </w:tcPr>
          <w:p>
            <w:pPr>
              <w:spacing w:before="30" w:after="30" w:line="278" w:lineRule="auto"/>
              <w:jc w:val="center"/>
            </w:pPr>
            <w:r/>
            <w:r>
              <w:rPr>
                <w:rFonts w:ascii="맑은 고딕" w:hAnsi="맑은 고딕" w:eastAsia="맑은 고딕"/>
                <w:b/>
                <w:color w:val="1A1A1A"/>
                <w:sz w:val="18"/>
              </w:rPr>
              <w:t>재활용업의 태반</w:t>
            </w:r>
          </w:p>
        </w:tc>
        <w:tc>
          <w:tcPr>
            <w:tcW w:type="dxa" w:w="2340"/>
            <w:vAlign w:val="center"/>
          </w:tcPr>
          <w:p>
            <w:pPr>
              <w:spacing w:before="30" w:after="30" w:line="278" w:lineRule="auto"/>
              <w:jc w:val="left"/>
            </w:pPr>
            <w:r/>
            <w:r>
              <w:rPr>
                <w:rFonts w:ascii="맑은 고딕" w:hAnsi="맑은 고딕" w:eastAsia="맑은 고딕"/>
                <w:b w:val="0"/>
                <w:color w:val="1A1A1A"/>
                <w:sz w:val="18"/>
              </w:rPr>
              <w:t>임시보관 5톤 미만 / 그 밖 7일분</w:t>
            </w:r>
          </w:p>
        </w:tc>
        <w:tc>
          <w:tcPr>
            <w:tcW w:type="dxa" w:w="1800"/>
            <w:vAlign w:val="center"/>
          </w:tcPr>
          <w:p>
            <w:pPr>
              <w:spacing w:before="30" w:after="30" w:line="278" w:lineRule="auto"/>
              <w:jc w:val="left"/>
            </w:pPr>
            <w:r/>
            <w:r>
              <w:rPr>
                <w:rFonts w:ascii="맑은 고딕" w:hAnsi="맑은 고딕" w:eastAsia="맑은 고딕"/>
                <w:b w:val="0"/>
                <w:color w:val="1A1A1A"/>
                <w:sz w:val="18"/>
              </w:rPr>
              <w:t>5일 또는 7일</w:t>
            </w:r>
          </w:p>
        </w:tc>
        <w:tc>
          <w:tcPr>
            <w:tcW w:type="dxa" w:w="1620"/>
            <w:vAlign w:val="center"/>
          </w:tcPr>
          <w:p>
            <w:pPr>
              <w:spacing w:before="30" w:after="30" w:line="278" w:lineRule="auto"/>
              <w:jc w:val="left"/>
            </w:pPr>
            <w:r/>
            <w:r>
              <w:rPr>
                <w:rFonts w:ascii="맑은 고딕" w:hAnsi="맑은 고딕" w:eastAsia="맑은 고딕"/>
                <w:b w:val="0"/>
                <w:color w:val="1A1A1A"/>
                <w:sz w:val="18"/>
              </w:rPr>
              <w:t>제5호</w:t>
            </w:r>
          </w:p>
        </w:tc>
      </w:tr>
      <w:tr>
        <w:tc>
          <w:tcPr>
            <w:tcW w:type="dxa" w:w="3240"/>
            <w:vAlign w:val="center"/>
            <w:shd w:val="clear" w:color="auto" w:fill="F2F2F2"/>
          </w:tcPr>
          <w:p>
            <w:pPr>
              <w:spacing w:before="30" w:after="30" w:line="278" w:lineRule="auto"/>
              <w:jc w:val="center"/>
            </w:pPr>
            <w:r/>
            <w:r>
              <w:rPr>
                <w:rFonts w:ascii="맑은 고딕" w:hAnsi="맑은 고딕" w:eastAsia="맑은 고딕"/>
                <w:b/>
                <w:color w:val="1A1A1A"/>
                <w:sz w:val="18"/>
              </w:rPr>
              <w:t>재활용가능자원 비축</w:t>
            </w:r>
          </w:p>
        </w:tc>
        <w:tc>
          <w:tcPr>
            <w:tcW w:type="dxa" w:w="2340"/>
            <w:vAlign w:val="center"/>
          </w:tcPr>
          <w:p>
            <w:pPr>
              <w:spacing w:before="30" w:after="30" w:line="278" w:lineRule="auto"/>
              <w:jc w:val="left"/>
            </w:pPr>
            <w:r/>
            <w:r>
              <w:rPr>
                <w:rFonts w:ascii="맑은 고딕" w:hAnsi="맑은 고딕" w:eastAsia="맑은 고딕"/>
                <w:b w:val="0"/>
                <w:color w:val="1A1A1A"/>
                <w:sz w:val="18"/>
              </w:rPr>
              <w:t>재활용법에 따른 고시</w:t>
            </w:r>
          </w:p>
        </w:tc>
        <w:tc>
          <w:tcPr>
            <w:tcW w:type="dxa" w:w="1800"/>
            <w:vAlign w:val="center"/>
          </w:tcPr>
          <w:p>
            <w:pPr>
              <w:spacing w:before="30" w:after="30" w:line="278" w:lineRule="auto"/>
              <w:jc w:val="left"/>
            </w:pPr>
            <w:r/>
            <w:r>
              <w:rPr>
                <w:rFonts w:ascii="맑은 고딕" w:hAnsi="맑은 고딕" w:eastAsia="맑은 고딕"/>
                <w:b w:val="0"/>
                <w:color w:val="1A1A1A"/>
                <w:sz w:val="18"/>
              </w:rPr>
              <w:t>고시로 정함</w:t>
            </w:r>
          </w:p>
        </w:tc>
        <w:tc>
          <w:tcPr>
            <w:tcW w:type="dxa" w:w="1620"/>
            <w:vAlign w:val="center"/>
          </w:tcPr>
          <w:p>
            <w:pPr>
              <w:spacing w:before="30" w:after="30" w:line="278" w:lineRule="auto"/>
              <w:jc w:val="left"/>
            </w:pPr>
            <w:r/>
            <w:r>
              <w:rPr>
                <w:rFonts w:ascii="맑은 고딕" w:hAnsi="맑은 고딕" w:eastAsia="맑은 고딕"/>
                <w:b w:val="0"/>
                <w:color w:val="1A1A1A"/>
                <w:sz w:val="18"/>
              </w:rPr>
              <w:t>제5호의2</w:t>
            </w:r>
          </w:p>
        </w:tc>
      </w:tr>
      <w:tr>
        <w:tc>
          <w:tcPr>
            <w:tcW w:type="dxa" w:w="3240"/>
            <w:vAlign w:val="center"/>
            <w:shd w:val="clear" w:color="auto" w:fill="F2F2F2"/>
          </w:tcPr>
          <w:p>
            <w:pPr>
              <w:spacing w:before="30" w:after="30" w:line="278" w:lineRule="auto"/>
              <w:jc w:val="center"/>
            </w:pPr>
            <w:r/>
            <w:r>
              <w:rPr>
                <w:rFonts w:ascii="맑은 고딕" w:hAnsi="맑은 고딕" w:eastAsia="맑은 고딕"/>
                <w:b/>
                <w:color w:val="1A1A1A"/>
                <w:sz w:val="18"/>
              </w:rPr>
              <w:t>중간처분업의 의료폐기물</w:t>
            </w:r>
          </w:p>
        </w:tc>
        <w:tc>
          <w:tcPr>
            <w:tcW w:type="dxa" w:w="2340"/>
            <w:vAlign w:val="center"/>
          </w:tcPr>
          <w:p>
            <w:pPr>
              <w:spacing w:before="30" w:after="30" w:line="278" w:lineRule="auto"/>
              <w:jc w:val="left"/>
            </w:pPr>
            <w:r/>
            <w:r>
              <w:rPr>
                <w:rFonts w:ascii="맑은 고딕" w:hAnsi="맑은 고딕" w:eastAsia="맑은 고딕"/>
                <w:b w:val="0"/>
                <w:color w:val="1A1A1A"/>
                <w:sz w:val="18"/>
              </w:rPr>
              <w:t>1일 처분용량의 5일분 이하</w:t>
            </w:r>
          </w:p>
        </w:tc>
        <w:tc>
          <w:tcPr>
            <w:tcW w:type="dxa" w:w="1800"/>
            <w:vAlign w:val="center"/>
          </w:tcPr>
          <w:p>
            <w:pPr>
              <w:spacing w:before="30" w:after="30" w:line="278" w:lineRule="auto"/>
              <w:jc w:val="left"/>
            </w:pPr>
            <w:r/>
            <w:r>
              <w:rPr>
                <w:rFonts w:ascii="맑은 고딕" w:hAnsi="맑은 고딕" w:eastAsia="맑은 고딕"/>
                <w:b w:val="0"/>
                <w:color w:val="1A1A1A"/>
                <w:sz w:val="18"/>
              </w:rPr>
              <w:t>5일 이내</w:t>
            </w:r>
            <w:r>
              <w:br/>
            </w:r>
            <w:r>
              <w:rPr>
                <w:rFonts w:ascii="맑은 고딕" w:hAnsi="맑은 고딕" w:eastAsia="맑은 고딕"/>
                <w:b w:val="0"/>
                <w:color w:val="1A1A1A"/>
                <w:sz w:val="18"/>
              </w:rPr>
              <w:t>(격리·조직물류 2일)</w:t>
            </w:r>
          </w:p>
        </w:tc>
        <w:tc>
          <w:tcPr>
            <w:tcW w:type="dxa" w:w="1620"/>
            <w:vAlign w:val="center"/>
          </w:tcPr>
          <w:p>
            <w:pPr>
              <w:spacing w:before="30" w:after="30" w:line="278" w:lineRule="auto"/>
              <w:jc w:val="left"/>
            </w:pPr>
            <w:r/>
            <w:r>
              <w:rPr>
                <w:rFonts w:ascii="맑은 고딕" w:hAnsi="맑은 고딕" w:eastAsia="맑은 고딕"/>
                <w:b w:val="0"/>
                <w:color w:val="1A1A1A"/>
                <w:sz w:val="18"/>
              </w:rPr>
              <w:t>제6호</w:t>
            </w:r>
          </w:p>
        </w:tc>
      </w:tr>
      <w:tr>
        <w:tc>
          <w:tcPr>
            <w:tcW w:type="dxa" w:w="3240"/>
            <w:vAlign w:val="center"/>
            <w:shd w:val="clear" w:color="auto" w:fill="F2F2F2"/>
          </w:tcPr>
          <w:p>
            <w:pPr>
              <w:spacing w:before="30" w:after="30" w:line="278" w:lineRule="auto"/>
              <w:jc w:val="center"/>
            </w:pPr>
            <w:r/>
            <w:r>
              <w:rPr>
                <w:rFonts w:ascii="맑은 고딕" w:hAnsi="맑은 고딕" w:eastAsia="맑은 고딕"/>
                <w:b/>
                <w:color w:val="1A1A1A"/>
                <w:sz w:val="18"/>
              </w:rPr>
              <w:t>감염병 재난 시 의료폐기물</w:t>
            </w:r>
          </w:p>
        </w:tc>
        <w:tc>
          <w:tcPr>
            <w:tcW w:type="dxa" w:w="2340"/>
            <w:vAlign w:val="center"/>
          </w:tcPr>
          <w:p>
            <w:pPr>
              <w:spacing w:before="30" w:after="30" w:line="278" w:lineRule="auto"/>
              <w:jc w:val="left"/>
            </w:pPr>
            <w:r/>
            <w:r>
              <w:rPr>
                <w:rFonts w:ascii="맑은 고딕" w:hAnsi="맑은 고딕" w:eastAsia="맑은 고딕"/>
                <w:b w:val="0"/>
                <w:color w:val="1A1A1A"/>
                <w:sz w:val="18"/>
              </w:rPr>
              <w:t>-</w:t>
            </w:r>
          </w:p>
        </w:tc>
        <w:tc>
          <w:tcPr>
            <w:tcW w:type="dxa" w:w="1800"/>
            <w:vAlign w:val="center"/>
          </w:tcPr>
          <w:p>
            <w:pPr>
              <w:spacing w:before="30" w:after="30" w:line="278" w:lineRule="auto"/>
              <w:jc w:val="left"/>
            </w:pPr>
            <w:r/>
            <w:r>
              <w:rPr>
                <w:rFonts w:ascii="맑은 고딕" w:hAnsi="맑은 고딕" w:eastAsia="맑은 고딕"/>
                <w:b w:val="0"/>
                <w:color w:val="1A1A1A"/>
                <w:sz w:val="18"/>
              </w:rPr>
              <w:t>장관이 처리기한 별도 지정</w:t>
            </w:r>
          </w:p>
        </w:tc>
        <w:tc>
          <w:tcPr>
            <w:tcW w:type="dxa" w:w="1620"/>
            <w:vAlign w:val="center"/>
          </w:tcPr>
          <w:p>
            <w:pPr>
              <w:spacing w:before="30" w:after="30" w:line="278" w:lineRule="auto"/>
              <w:jc w:val="left"/>
            </w:pPr>
            <w:r/>
            <w:r>
              <w:rPr>
                <w:rFonts w:ascii="맑은 고딕" w:hAnsi="맑은 고딕" w:eastAsia="맑은 고딕"/>
                <w:b w:val="0"/>
                <w:color w:val="1A1A1A"/>
                <w:sz w:val="18"/>
              </w:rPr>
              <w:t>제7호</w:t>
            </w:r>
          </w:p>
        </w:tc>
      </w:tr>
    </w:tbl>
    <w:p>
      <w:pPr>
        <w:spacing w:after="100"/>
      </w:pPr>
    </w:p>
    <w:p>
      <w:pPr>
        <w:pStyle w:val="2"/>
      </w:pPr>
      <w:r>
        <w:rPr>
          <w:rFonts w:ascii="맑은 고딕" w:hAnsi="맑은 고딕" w:eastAsia="맑은 고딕"/>
        </w:rPr>
        <w:t>3. 30일·60일·180일이 갈리는 근거 (재활용 보관)</w:t>
      </w:r>
    </w:p>
    <w:tbl>
      <w:tblPr>
        <w:tblW w:w="5000" w:type="pct"/>
        <w:tblCellMar>
          <w:top w:w="50" w:type="dxa"/>
          <w:left w:w="100" w:type="dxa"/>
          <w:bottom w:w="50" w:type="dxa"/>
          <w:right w:w="100" w:type="dxa"/>
        </w:tblCellMar>
        <w:tblBorders>
          <w:top w:val="single" w:sz="22" w:space="0" w:color="000000"/>
          <w:left w:val="single" w:sz="22" w:space="0" w:color="000000"/>
          <w:bottom w:val="single" w:sz="22" w:space="0" w:color="000000"/>
          <w:right w:val="single" w:sz="22" w:space="0" w:color="000000"/>
          <w:insideH w:val="single" w:sz="4" w:space="0" w:color="B7B7B7"/>
          <w:insideV w:val="single" w:sz="4" w:space="0" w:color="B7B7B7"/>
        </w:tblBorders>
        <w:tblLook w:val="04A0" w:firstRow="1" w:lastRow="0" w:firstColumn="0" w:lastColumn="0" w:noHBand="0" w:noVBand="1"/>
      </w:tblPr>
      <w:tblGrid>
        <w:gridCol w:w="1080"/>
        <w:gridCol w:w="5760"/>
        <w:gridCol w:w="2160"/>
      </w:tblGrid>
      <w:tr>
        <w:tc>
          <w:tcPr>
            <w:tcW w:type="dxa" w:w="108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보관기간</w:t>
            </w:r>
          </w:p>
        </w:tc>
        <w:tc>
          <w:tcPr>
            <w:tcW w:type="dxa" w:w="576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해당 폐기물</w:t>
            </w:r>
          </w:p>
        </w:tc>
        <w:tc>
          <w:tcPr>
            <w:tcW w:type="dxa" w:w="216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근거</w:t>
            </w:r>
          </w:p>
        </w:tc>
      </w:tr>
      <w:tr>
        <w:tc>
          <w:tcPr>
            <w:tcW w:type="dxa" w:w="1080"/>
            <w:vAlign w:val="center"/>
            <w:shd w:val="clear" w:color="auto" w:fill="D2D2D2"/>
          </w:tcPr>
          <w:p>
            <w:pPr>
              <w:spacing w:before="30" w:after="30" w:line="278" w:lineRule="auto"/>
              <w:jc w:val="center"/>
            </w:pPr>
            <w:r/>
            <w:r>
              <w:rPr>
                <w:rFonts w:ascii="맑은 고딕" w:hAnsi="맑은 고딕" w:eastAsia="맑은 고딕"/>
                <w:b/>
                <w:color w:val="1A1A1A"/>
                <w:sz w:val="18"/>
              </w:rPr>
              <w:t>30일</w:t>
            </w:r>
          </w:p>
        </w:tc>
        <w:tc>
          <w:tcPr>
            <w:tcW w:type="dxa" w:w="5760"/>
            <w:vAlign w:val="center"/>
          </w:tcPr>
          <w:p>
            <w:pPr>
              <w:spacing w:before="30" w:after="30" w:line="278" w:lineRule="auto"/>
              <w:jc w:val="left"/>
            </w:pPr>
            <w:r/>
            <w:r>
              <w:rPr>
                <w:rFonts w:ascii="맑은 고딕" w:hAnsi="맑은 고딕" w:eastAsia="맑은 고딕"/>
                <w:b w:val="0"/>
                <w:color w:val="1A1A1A"/>
                <w:sz w:val="18"/>
              </w:rPr>
              <w:t>재활용·중간처분·종합처분업자의 일반 보관 (60·180일 대상이 아닌 폐기물). 1일 처리용량의 30일분 이하. 매립시설 구획 폐석면 매립은 6개월</w:t>
            </w:r>
          </w:p>
        </w:tc>
        <w:tc>
          <w:tcPr>
            <w:tcW w:type="dxa" w:w="2160"/>
            <w:vAlign w:val="center"/>
          </w:tcPr>
          <w:p>
            <w:pPr>
              <w:spacing w:before="30" w:after="30" w:line="278" w:lineRule="auto"/>
              <w:jc w:val="left"/>
            </w:pPr>
            <w:r/>
            <w:r>
              <w:rPr>
                <w:rFonts w:ascii="맑은 고딕" w:hAnsi="맑은 고딕" w:eastAsia="맑은 고딕"/>
                <w:b w:val="0"/>
                <w:color w:val="1A1A1A"/>
                <w:sz w:val="18"/>
              </w:rPr>
              <w:t>폐기물관리법 시행규칙</w:t>
            </w:r>
            <w:r>
              <w:br/>
            </w:r>
            <w:r>
              <w:rPr>
                <w:rFonts w:ascii="맑은 고딕" w:hAnsi="맑은 고딕" w:eastAsia="맑은 고딕"/>
                <w:b w:val="0"/>
                <w:color w:val="1A1A1A"/>
                <w:sz w:val="18"/>
              </w:rPr>
              <w:t>제31조 제1항 제4호</w:t>
            </w:r>
          </w:p>
        </w:tc>
      </w:tr>
      <w:tr>
        <w:tc>
          <w:tcPr>
            <w:tcW w:type="dxa" w:w="1080"/>
            <w:vAlign w:val="center"/>
            <w:shd w:val="clear" w:color="auto" w:fill="E0E0E0"/>
          </w:tcPr>
          <w:p>
            <w:pPr>
              <w:spacing w:before="30" w:after="30" w:line="278" w:lineRule="auto"/>
              <w:jc w:val="center"/>
            </w:pPr>
            <w:r/>
            <w:r>
              <w:rPr>
                <w:rFonts w:ascii="맑은 고딕" w:hAnsi="맑은 고딕" w:eastAsia="맑은 고딕"/>
                <w:b/>
                <w:color w:val="1A1A1A"/>
                <w:sz w:val="18"/>
              </w:rPr>
              <w:t>60일</w:t>
            </w:r>
          </w:p>
        </w:tc>
        <w:tc>
          <w:tcPr>
            <w:tcW w:type="dxa" w:w="5760"/>
            <w:vAlign w:val="center"/>
          </w:tcPr>
          <w:p>
            <w:pPr>
              <w:spacing w:before="30" w:after="30" w:line="278" w:lineRule="auto"/>
              <w:jc w:val="left"/>
            </w:pPr>
            <w:r/>
            <w:r>
              <w:rPr>
                <w:rFonts w:ascii="맑은 고딕" w:hAnsi="맑은 고딕" w:eastAsia="맑은 고딕"/>
                <w:b w:val="0"/>
                <w:color w:val="1A1A1A"/>
                <w:sz w:val="18"/>
              </w:rPr>
              <w:t>재활용 목적으로 보관하는 폐석고·폐고무·광재·폐내화물·폐도자기조각·폐합성수지·폐금속류·폐지·폐유리·폐콘크리트전주·폐석재·폐레미콘, 그리고 특정 시설의 무기성 오니. 1일 재활용량의 60일분 이하</w:t>
            </w:r>
          </w:p>
        </w:tc>
        <w:tc>
          <w:tcPr>
            <w:tcW w:type="dxa" w:w="2160"/>
            <w:vAlign w:val="center"/>
          </w:tcPr>
          <w:p>
            <w:pPr>
              <w:spacing w:before="30" w:after="30" w:line="278" w:lineRule="auto"/>
              <w:jc w:val="left"/>
            </w:pPr>
            <w:r/>
            <w:r>
              <w:rPr>
                <w:rFonts w:ascii="맑은 고딕" w:hAnsi="맑은 고딕" w:eastAsia="맑은 고딕"/>
                <w:b w:val="0"/>
                <w:color w:val="1A1A1A"/>
                <w:sz w:val="18"/>
              </w:rPr>
              <w:t>폐기물관리법 시행규칙</w:t>
            </w:r>
            <w:r>
              <w:br/>
            </w:r>
            <w:r>
              <w:rPr>
                <w:rFonts w:ascii="맑은 고딕" w:hAnsi="맑은 고딕" w:eastAsia="맑은 고딕"/>
                <w:b w:val="0"/>
                <w:color w:val="1A1A1A"/>
                <w:sz w:val="18"/>
              </w:rPr>
              <w:t>제31조 제1항 제3호 가목</w:t>
            </w:r>
            <w:r>
              <w:br/>
            </w:r>
            <w:r>
              <w:rPr>
                <w:rFonts w:ascii="맑은 고딕" w:hAnsi="맑은 고딕" w:eastAsia="맑은 고딕"/>
                <w:b w:val="0"/>
                <w:color w:val="1A1A1A"/>
                <w:sz w:val="18"/>
              </w:rPr>
              <w:t>(1) 품목 · (2) 무기성 오니)</w:t>
            </w:r>
          </w:p>
        </w:tc>
      </w:tr>
      <w:tr>
        <w:tc>
          <w:tcPr>
            <w:tcW w:type="dxa" w:w="1080"/>
            <w:vAlign w:val="center"/>
            <w:shd w:val="clear" w:color="auto" w:fill="ECECEC"/>
          </w:tcPr>
          <w:p>
            <w:pPr>
              <w:spacing w:before="30" w:after="30" w:line="278" w:lineRule="auto"/>
              <w:jc w:val="center"/>
            </w:pPr>
            <w:r/>
            <w:r>
              <w:rPr>
                <w:rFonts w:ascii="맑은 고딕" w:hAnsi="맑은 고딕" w:eastAsia="맑은 고딕"/>
                <w:b/>
                <w:color w:val="1A1A1A"/>
                <w:sz w:val="18"/>
              </w:rPr>
              <w:t>180일</w:t>
            </w:r>
          </w:p>
        </w:tc>
        <w:tc>
          <w:tcPr>
            <w:tcW w:type="dxa" w:w="5760"/>
            <w:vAlign w:val="center"/>
          </w:tcPr>
          <w:p>
            <w:pPr>
              <w:spacing w:before="30" w:after="30" w:line="278" w:lineRule="auto"/>
              <w:jc w:val="left"/>
            </w:pPr>
            <w:r/>
            <w:r>
              <w:rPr>
                <w:rFonts w:ascii="맑은 고딕" w:hAnsi="맑은 고딕" w:eastAsia="맑은 고딕"/>
                <w:b w:val="0"/>
                <w:color w:val="1A1A1A"/>
                <w:sz w:val="18"/>
              </w:rPr>
              <w:t>폐목재·폐촉매·폐김발장·석탄재·리튬이차전지(제조 부산물)·전기자동차 폐이차전지·태양광 폐패널·특정 수입폐기물. 1일 재활용량의 180일분 이하</w:t>
            </w:r>
          </w:p>
        </w:tc>
        <w:tc>
          <w:tcPr>
            <w:tcW w:type="dxa" w:w="2160"/>
            <w:vAlign w:val="center"/>
          </w:tcPr>
          <w:p>
            <w:pPr>
              <w:spacing w:before="30" w:after="30" w:line="278" w:lineRule="auto"/>
              <w:jc w:val="left"/>
            </w:pPr>
            <w:r/>
            <w:r>
              <w:rPr>
                <w:rFonts w:ascii="맑은 고딕" w:hAnsi="맑은 고딕" w:eastAsia="맑은 고딕"/>
                <w:b w:val="0"/>
                <w:color w:val="1A1A1A"/>
                <w:sz w:val="18"/>
              </w:rPr>
              <w:t>폐기물관리법 시행규칙</w:t>
            </w:r>
            <w:r>
              <w:br/>
            </w:r>
            <w:r>
              <w:rPr>
                <w:rFonts w:ascii="맑은 고딕" w:hAnsi="맑은 고딕" w:eastAsia="맑은 고딕"/>
                <w:b w:val="0"/>
                <w:color w:val="1A1A1A"/>
                <w:sz w:val="18"/>
              </w:rPr>
              <w:t>제31조 제1항 제3호 나목</w:t>
            </w:r>
          </w:p>
        </w:tc>
      </w:tr>
    </w:tbl>
    <w:p>
      <w:pPr>
        <w:spacing w:after="100"/>
      </w:pPr>
    </w:p>
    <w:p>
      <w:pPr>
        <w:spacing w:after="160" w:before="40"/>
      </w:pPr>
      <w:r>
        <w:rPr>
          <w:rFonts w:ascii="맑은 고딕" w:hAnsi="맑은 고딕" w:eastAsia="맑은 고딕"/>
          <w:color w:val="333333"/>
          <w:sz w:val="19"/>
        </w:rPr>
        <w:t>핵심은 '제4호(일반, 30일)'와 '제3호 가목(특정 재활용, 60일)'의 갈림입니다. 재활용을 위해 보관하는 무기성 계열 지정 품목이면 제3호 가목이 적용되어 60일, 그 밖의 일반 보관이면 제4호가 적용되어 30일입니다.</w:t>
      </w:r>
    </w:p>
    <w:p>
      <w:pPr>
        <w:pStyle w:val="2"/>
      </w:pPr>
      <w:r>
        <w:rPr>
          <w:rFonts w:ascii="맑은 고딕" w:hAnsi="맑은 고딕" w:eastAsia="맑은 고딕"/>
        </w:rPr>
        <w:t>4. 60일 목록에서 빠지는 폐합성수지 (재활용법 시행령 제18조)</w:t>
      </w:r>
    </w:p>
    <w:p>
      <w:pPr>
        <w:spacing w:after="80"/>
      </w:pPr>
      <w:r>
        <w:rPr>
          <w:rFonts w:ascii="맑은 고딕" w:hAnsi="맑은 고딕" w:eastAsia="맑은 고딕"/>
          <w:color w:val="333333"/>
          <w:sz w:val="19"/>
        </w:rPr>
        <w:t>제3호 가목 1)의 폐합성수지 중 '재활용법 시행령 제18조 제1호·제3호·제8호부터 제10호까지'에 해당하는 것은 60일 대상에서 제외됩니다. 이들은 재활용법상 생산자 재활용의무(EPR) 대상 포장재·제품이라 별도로 관리되기 때문입니다. 제외되는 품목은 다음과 같습니다.</w:t>
      </w:r>
    </w:p>
    <w:tbl>
      <w:tblPr>
        <w:tblW w:w="5000" w:type="pct"/>
        <w:tblCellMar>
          <w:top w:w="50" w:type="dxa"/>
          <w:left w:w="100" w:type="dxa"/>
          <w:bottom w:w="50" w:type="dxa"/>
          <w:right w:w="100" w:type="dxa"/>
        </w:tblCellMar>
        <w:tblBorders>
          <w:top w:val="single" w:sz="22" w:space="0" w:color="000000"/>
          <w:left w:val="single" w:sz="22" w:space="0" w:color="000000"/>
          <w:bottom w:val="single" w:sz="22" w:space="0" w:color="000000"/>
          <w:right w:val="single" w:sz="22" w:space="0" w:color="000000"/>
          <w:insideH w:val="single" w:sz="4" w:space="0" w:color="B7B7B7"/>
          <w:insideV w:val="single" w:sz="4" w:space="0" w:color="B7B7B7"/>
        </w:tblBorders>
        <w:tblLook w:val="04A0" w:firstRow="1" w:lastRow="0" w:firstColumn="0" w:lastColumn="0" w:noHBand="0" w:noVBand="1"/>
      </w:tblPr>
      <w:tblGrid>
        <w:gridCol w:w="1620"/>
        <w:gridCol w:w="7380"/>
      </w:tblGrid>
      <w:tr>
        <w:tc>
          <w:tcPr>
            <w:tcW w:type="dxa" w:w="162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시행령 제18조</w:t>
            </w:r>
          </w:p>
        </w:tc>
        <w:tc>
          <w:tcPr>
            <w:tcW w:type="dxa" w:w="738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제외되는 폐합성수지</w:t>
            </w:r>
          </w:p>
        </w:tc>
      </w:tr>
      <w:tr>
        <w:tc>
          <w:tcPr>
            <w:tcW w:type="dxa" w:w="1620"/>
            <w:vAlign w:val="center"/>
            <w:shd w:val="clear" w:color="auto" w:fill="F2F2F2"/>
          </w:tcPr>
          <w:p>
            <w:pPr>
              <w:spacing w:before="30" w:after="30" w:line="278" w:lineRule="auto"/>
              <w:jc w:val="center"/>
            </w:pPr>
            <w:r/>
            <w:r>
              <w:rPr>
                <w:rFonts w:ascii="맑은 고딕" w:hAnsi="맑은 고딕" w:eastAsia="맑은 고딕"/>
                <w:b/>
                <w:color w:val="1A1A1A"/>
                <w:sz w:val="18"/>
              </w:rPr>
              <w:t>제1호</w:t>
            </w:r>
          </w:p>
        </w:tc>
        <w:tc>
          <w:tcPr>
            <w:tcW w:type="dxa" w:w="7380"/>
            <w:vAlign w:val="center"/>
          </w:tcPr>
          <w:p>
            <w:pPr>
              <w:spacing w:before="30" w:after="30" w:line="278" w:lineRule="auto"/>
              <w:jc w:val="left"/>
            </w:pPr>
            <w:r/>
            <w:r>
              <w:rPr>
                <w:rFonts w:ascii="맑은 고딕" w:hAnsi="맑은 고딕" w:eastAsia="맑은 고딕"/>
                <w:b w:val="0"/>
                <w:color w:val="1A1A1A"/>
                <w:sz w:val="18"/>
              </w:rPr>
              <w:t>합성수지재질의 포장재 (용기류, 필름·시트형 포장재, 쟁반형 용기(tray) 포함)</w:t>
            </w:r>
          </w:p>
        </w:tc>
      </w:tr>
      <w:tr>
        <w:tc>
          <w:tcPr>
            <w:tcW w:type="dxa" w:w="1620"/>
            <w:vAlign w:val="center"/>
            <w:shd w:val="clear" w:color="auto" w:fill="F2F2F2"/>
          </w:tcPr>
          <w:p>
            <w:pPr>
              <w:spacing w:before="30" w:after="30" w:line="278" w:lineRule="auto"/>
              <w:jc w:val="center"/>
            </w:pPr>
            <w:r/>
            <w:r>
              <w:rPr>
                <w:rFonts w:ascii="맑은 고딕" w:hAnsi="맑은 고딕" w:eastAsia="맑은 고딕"/>
                <w:b/>
                <w:color w:val="1A1A1A"/>
                <w:sz w:val="18"/>
              </w:rPr>
              <w:t>제3호</w:t>
            </w:r>
          </w:p>
        </w:tc>
        <w:tc>
          <w:tcPr>
            <w:tcW w:type="dxa" w:w="7380"/>
            <w:vAlign w:val="center"/>
          </w:tcPr>
          <w:p>
            <w:pPr>
              <w:spacing w:before="30" w:after="30" w:line="278" w:lineRule="auto"/>
              <w:jc w:val="left"/>
            </w:pPr>
            <w:r/>
            <w:r>
              <w:rPr>
                <w:rFonts w:ascii="맑은 고딕" w:hAnsi="맑은 고딕" w:eastAsia="맑은 고딕"/>
                <w:b w:val="0"/>
                <w:color w:val="1A1A1A"/>
                <w:sz w:val="18"/>
              </w:rPr>
              <w:t>합성수지재질의 1회용 봉투·쇼핑백 (폐기물 종량제 봉투는 제외)</w:t>
            </w:r>
          </w:p>
        </w:tc>
      </w:tr>
      <w:tr>
        <w:tc>
          <w:tcPr>
            <w:tcW w:type="dxa" w:w="1620"/>
            <w:vAlign w:val="center"/>
            <w:shd w:val="clear" w:color="auto" w:fill="F2F2F2"/>
          </w:tcPr>
          <w:p>
            <w:pPr>
              <w:spacing w:before="30" w:after="30" w:line="278" w:lineRule="auto"/>
              <w:jc w:val="center"/>
            </w:pPr>
            <w:r/>
            <w:r>
              <w:rPr>
                <w:rFonts w:ascii="맑은 고딕" w:hAnsi="맑은 고딕" w:eastAsia="맑은 고딕"/>
                <w:b/>
                <w:color w:val="1A1A1A"/>
                <w:sz w:val="18"/>
              </w:rPr>
              <w:t>제8호</w:t>
            </w:r>
          </w:p>
        </w:tc>
        <w:tc>
          <w:tcPr>
            <w:tcW w:type="dxa" w:w="7380"/>
            <w:vAlign w:val="center"/>
          </w:tcPr>
          <w:p>
            <w:pPr>
              <w:spacing w:before="30" w:after="30" w:line="278" w:lineRule="auto"/>
              <w:jc w:val="left"/>
            </w:pPr>
            <w:r/>
            <w:r>
              <w:rPr>
                <w:rFonts w:ascii="맑은 고딕" w:hAnsi="맑은 고딕" w:eastAsia="맑은 고딕"/>
                <w:b w:val="0"/>
                <w:color w:val="1A1A1A"/>
                <w:sz w:val="18"/>
              </w:rPr>
              <w:t>합성수지재질의 수산물 양식용 부자(浮子)</w:t>
            </w:r>
          </w:p>
        </w:tc>
      </w:tr>
      <w:tr>
        <w:tc>
          <w:tcPr>
            <w:tcW w:type="dxa" w:w="1620"/>
            <w:vAlign w:val="center"/>
            <w:shd w:val="clear" w:color="auto" w:fill="F2F2F2"/>
          </w:tcPr>
          <w:p>
            <w:pPr>
              <w:spacing w:before="30" w:after="30" w:line="278" w:lineRule="auto"/>
              <w:jc w:val="center"/>
            </w:pPr>
            <w:r/>
            <w:r>
              <w:rPr>
                <w:rFonts w:ascii="맑은 고딕" w:hAnsi="맑은 고딕" w:eastAsia="맑은 고딕"/>
                <w:b/>
                <w:color w:val="1A1A1A"/>
                <w:sz w:val="18"/>
              </w:rPr>
              <w:t>제9호</w:t>
            </w:r>
          </w:p>
        </w:tc>
        <w:tc>
          <w:tcPr>
            <w:tcW w:type="dxa" w:w="7380"/>
            <w:vAlign w:val="center"/>
          </w:tcPr>
          <w:p>
            <w:pPr>
              <w:spacing w:before="30" w:after="30" w:line="278" w:lineRule="auto"/>
              <w:jc w:val="left"/>
            </w:pPr>
            <w:r/>
            <w:r>
              <w:rPr>
                <w:rFonts w:ascii="맑은 고딕" w:hAnsi="맑은 고딕" w:eastAsia="맑은 고딕"/>
                <w:b w:val="0"/>
                <w:color w:val="1A1A1A"/>
                <w:sz w:val="18"/>
              </w:rPr>
              <w:t>곤포(뭉치) 사일리지용 필름 (사료작물·볏짚 등 압축·결속용 합성수지 비닐류)</w:t>
            </w:r>
          </w:p>
        </w:tc>
      </w:tr>
      <w:tr>
        <w:tc>
          <w:tcPr>
            <w:tcW w:type="dxa" w:w="1620"/>
            <w:vAlign w:val="center"/>
            <w:shd w:val="clear" w:color="auto" w:fill="F2F2F2"/>
          </w:tcPr>
          <w:p>
            <w:pPr>
              <w:spacing w:before="30" w:after="30" w:line="278" w:lineRule="auto"/>
              <w:jc w:val="center"/>
            </w:pPr>
            <w:r/>
            <w:r>
              <w:rPr>
                <w:rFonts w:ascii="맑은 고딕" w:hAnsi="맑은 고딕" w:eastAsia="맑은 고딕"/>
                <w:b/>
                <w:color w:val="1A1A1A"/>
                <w:sz w:val="18"/>
              </w:rPr>
              <w:t>제10호</w:t>
            </w:r>
          </w:p>
        </w:tc>
        <w:tc>
          <w:tcPr>
            <w:tcW w:type="dxa" w:w="7380"/>
            <w:vAlign w:val="center"/>
          </w:tcPr>
          <w:p>
            <w:pPr>
              <w:spacing w:before="30" w:after="30" w:line="278" w:lineRule="auto"/>
              <w:jc w:val="left"/>
            </w:pPr>
            <w:r/>
            <w:r>
              <w:rPr>
                <w:rFonts w:ascii="맑은 고딕" w:hAnsi="맑은 고딕" w:eastAsia="맑은 고딕"/>
                <w:b w:val="0"/>
                <w:color w:val="1A1A1A"/>
                <w:sz w:val="18"/>
              </w:rPr>
              <w:t>합성수지재질의 김발장 (김 건조용 발장)</w:t>
            </w:r>
          </w:p>
        </w:tc>
      </w:tr>
    </w:tbl>
    <w:p>
      <w:pPr>
        <w:spacing w:after="100"/>
      </w:pPr>
    </w:p>
    <w:p>
      <w:pPr>
        <w:pStyle w:val="note"/>
      </w:pPr>
      <w:r>
        <w:rPr>
          <w:rFonts w:ascii="맑은 고딕" w:hAnsi="맑은 고딕" w:eastAsia="맑은 고딕"/>
        </w:rPr>
        <w:t>※ 즉 위 다섯 가지 폐합성수지는 폐기물관리법상 처리업자의 60일 재활용 보관 목록에 들어가지 않습니다. 나머지 일반 폐합성수지는 60일 대상입니다.</w:t>
      </w:r>
    </w:p>
    <w:p>
      <w:pPr>
        <w:pStyle w:val="2"/>
      </w:pPr>
      <w:r>
        <w:rPr>
          <w:rFonts w:ascii="맑은 고딕" w:hAnsi="맑은 고딕" w:eastAsia="맑은 고딕"/>
        </w:rPr>
        <w:t>5. 보관량·기간의 연장 (초과 보관)</w:t>
      </w:r>
    </w:p>
    <w:tbl>
      <w:tblPr>
        <w:tblW w:w="5000" w:type="pct"/>
        <w:tblCellMar>
          <w:top w:w="50" w:type="dxa"/>
          <w:left w:w="100" w:type="dxa"/>
          <w:bottom w:w="50" w:type="dxa"/>
          <w:right w:w="100" w:type="dxa"/>
        </w:tblCellMar>
        <w:tblBorders>
          <w:top w:val="single" w:sz="22" w:space="0" w:color="000000"/>
          <w:left w:val="single" w:sz="22" w:space="0" w:color="000000"/>
          <w:bottom w:val="single" w:sz="22" w:space="0" w:color="000000"/>
          <w:right w:val="single" w:sz="22" w:space="0" w:color="000000"/>
          <w:insideH w:val="single" w:sz="4" w:space="0" w:color="B7B7B7"/>
          <w:insideV w:val="single" w:sz="4" w:space="0" w:color="B7B7B7"/>
        </w:tblBorders>
        <w:tblLook w:val="04A0" w:firstRow="1" w:lastRow="0" w:firstColumn="0" w:lastColumn="0" w:noHBand="0" w:noVBand="1"/>
      </w:tblPr>
      <w:tblGrid>
        <w:gridCol w:w="1440"/>
        <w:gridCol w:w="5400"/>
        <w:gridCol w:w="2160"/>
      </w:tblGrid>
      <w:tr>
        <w:tc>
          <w:tcPr>
            <w:tcW w:type="dxa" w:w="144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구분</w:t>
            </w:r>
          </w:p>
        </w:tc>
        <w:tc>
          <w:tcPr>
            <w:tcW w:type="dxa" w:w="540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내용</w:t>
            </w:r>
          </w:p>
        </w:tc>
        <w:tc>
          <w:tcPr>
            <w:tcW w:type="dxa" w:w="216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근거</w:t>
            </w:r>
          </w:p>
        </w:tc>
      </w:tr>
      <w:tr>
        <w:tc>
          <w:tcPr>
            <w:tcW w:type="dxa" w:w="1440"/>
            <w:vAlign w:val="center"/>
            <w:shd w:val="clear" w:color="auto" w:fill="F2F2F2"/>
          </w:tcPr>
          <w:p>
            <w:pPr>
              <w:spacing w:before="30" w:after="30" w:line="278" w:lineRule="auto"/>
              <w:jc w:val="center"/>
            </w:pPr>
            <w:r/>
            <w:r>
              <w:rPr>
                <w:rFonts w:ascii="맑은 고딕" w:hAnsi="맑은 고딕" w:eastAsia="맑은 고딕"/>
                <w:b/>
                <w:color w:val="1A1A1A"/>
                <w:sz w:val="18"/>
              </w:rPr>
              <w:t>원칙</w:t>
            </w:r>
          </w:p>
        </w:tc>
        <w:tc>
          <w:tcPr>
            <w:tcW w:type="dxa" w:w="5400"/>
            <w:vAlign w:val="center"/>
          </w:tcPr>
          <w:p>
            <w:pPr>
              <w:spacing w:before="30" w:after="30" w:line="278" w:lineRule="auto"/>
              <w:jc w:val="left"/>
            </w:pPr>
            <w:r/>
            <w:r>
              <w:rPr>
                <w:rFonts w:ascii="맑은 고딕" w:hAnsi="맑은 고딕" w:eastAsia="맑은 고딕"/>
                <w:b w:val="0"/>
                <w:color w:val="1A1A1A"/>
                <w:sz w:val="18"/>
              </w:rPr>
              <w:t>허가·승인받은 보관량 및 보관기간을 초과하여 보관할 수 없음</w:t>
            </w:r>
          </w:p>
        </w:tc>
        <w:tc>
          <w:tcPr>
            <w:tcW w:type="dxa" w:w="2160"/>
            <w:vAlign w:val="center"/>
          </w:tcPr>
          <w:p>
            <w:pPr>
              <w:spacing w:before="30" w:after="30" w:line="278" w:lineRule="auto"/>
              <w:jc w:val="left"/>
            </w:pPr>
            <w:r/>
            <w:r>
              <w:rPr>
                <w:rFonts w:ascii="맑은 고딕" w:hAnsi="맑은 고딕" w:eastAsia="맑은 고딕"/>
                <w:b w:val="0"/>
                <w:color w:val="1A1A1A"/>
                <w:sz w:val="18"/>
              </w:rPr>
              <w:t>폐기물관리법 시행규칙 제31조 제2항 본문</w:t>
            </w:r>
          </w:p>
        </w:tc>
      </w:tr>
      <w:tr>
        <w:tc>
          <w:tcPr>
            <w:tcW w:type="dxa" w:w="1440"/>
            <w:vAlign w:val="center"/>
            <w:shd w:val="clear" w:color="auto" w:fill="F2F2F2"/>
          </w:tcPr>
          <w:p>
            <w:pPr>
              <w:spacing w:before="30" w:after="30" w:line="278" w:lineRule="auto"/>
              <w:jc w:val="center"/>
            </w:pPr>
            <w:r/>
            <w:r>
              <w:rPr>
                <w:rFonts w:ascii="맑은 고딕" w:hAnsi="맑은 고딕" w:eastAsia="맑은 고딕"/>
                <w:b/>
                <w:color w:val="1A1A1A"/>
                <w:sz w:val="18"/>
              </w:rPr>
              <w:t>예외</w:t>
            </w:r>
          </w:p>
        </w:tc>
        <w:tc>
          <w:tcPr>
            <w:tcW w:type="dxa" w:w="5400"/>
            <w:vAlign w:val="center"/>
          </w:tcPr>
          <w:p>
            <w:pPr>
              <w:spacing w:before="30" w:after="30" w:line="278" w:lineRule="auto"/>
              <w:jc w:val="left"/>
            </w:pPr>
            <w:r/>
            <w:r>
              <w:rPr>
                <w:rFonts w:ascii="맑은 고딕" w:hAnsi="맑은 고딕" w:eastAsia="맑은 고딕"/>
                <w:b w:val="0"/>
                <w:color w:val="1A1A1A"/>
                <w:sz w:val="18"/>
              </w:rPr>
              <w:t>화재 등 중대한 사고, 방치폐기물 반입·보관 등 부득이한 사유가 있고 시·도지사나 지방환경관서의 장의 승인을 받으면 초과 보관 가능</w:t>
            </w:r>
          </w:p>
        </w:tc>
        <w:tc>
          <w:tcPr>
            <w:tcW w:type="dxa" w:w="2160"/>
            <w:vAlign w:val="center"/>
          </w:tcPr>
          <w:p>
            <w:pPr>
              <w:spacing w:before="30" w:after="30" w:line="278" w:lineRule="auto"/>
              <w:jc w:val="left"/>
            </w:pPr>
            <w:r/>
            <w:r>
              <w:rPr>
                <w:rFonts w:ascii="맑은 고딕" w:hAnsi="맑은 고딕" w:eastAsia="맑은 고딕"/>
                <w:b w:val="0"/>
                <w:color w:val="1A1A1A"/>
                <w:sz w:val="18"/>
              </w:rPr>
              <w:t>폐기물관리법 시행규칙 제31조 제2항 단서</w:t>
            </w:r>
          </w:p>
        </w:tc>
      </w:tr>
    </w:tbl>
    <w:p>
      <w:pPr>
        <w:spacing w:after="100"/>
      </w:pPr>
    </w:p>
    <w:p>
      <w:pPr>
        <w:pStyle w:val="2"/>
      </w:pPr>
      <w:r>
        <w:rPr>
          <w:rFonts w:ascii="맑은 고딕" w:hAnsi="맑은 고딕" w:eastAsia="맑은 고딕"/>
        </w:rPr>
        <w:t>6. 어기면 어떻게 되나</w:t>
      </w:r>
    </w:p>
    <w:p>
      <w:pPr>
        <w:spacing w:after="80"/>
      </w:pPr>
      <w:r>
        <w:rPr>
          <w:rFonts w:ascii="맑은 고딕" w:hAnsi="맑은 고딕" w:eastAsia="맑은 고딕"/>
          <w:color w:val="333333"/>
          <w:sz w:val="19"/>
        </w:rPr>
        <w:t>보관량이나 보관기간을 넘기는 것은 법 제25조 제9항의 준수사항 위반이므로 폐기물관리법에 따른 영업정지 등 행정처분의 대상이 될 수 있고, 처리하지 못하고 쌓인 폐기물은 방치폐기물 조치명령과 처리이행보증 집행 문제로 이어질 수 있습니다. 보관기간은 사실상 '언제까지 처리해야 하는가'라는 처리기한으로 작동합니다.</w:t>
      </w:r>
    </w:p>
    <w:p>
      <w:pPr>
        <w:pStyle w:val="note"/>
      </w:pPr>
      <w:r>
        <w:rPr>
          <w:rFonts w:ascii="맑은 고딕" w:hAnsi="맑은 고딕" w:eastAsia="맑은 고딕"/>
        </w:rPr>
        <w:t>※ 법 제25조 제9항 제4호의 '영상정보 60일 보관'은 보관·매립 폐기물을 촬영한 CCTV 영상의 저장 기간으로, 폐기물 자체의 보관기간(위 60일)과 다른 규정입니다. 혼동하지 마세요.</w:t>
      </w:r>
    </w:p>
    <w:p>
      <w:pPr>
        <w:pStyle w:val="2"/>
      </w:pPr>
      <w:r>
        <w:rPr>
          <w:rFonts w:ascii="맑은 고딕" w:hAnsi="맑은 고딕" w:eastAsia="맑은 고딕"/>
        </w:rPr>
        <w:t>7. 관련 법령 조항 총목록</w:t>
      </w:r>
    </w:p>
    <w:tbl>
      <w:tblPr>
        <w:tblW w:w="5000" w:type="pct"/>
        <w:tblCellMar>
          <w:top w:w="50" w:type="dxa"/>
          <w:left w:w="100" w:type="dxa"/>
          <w:bottom w:w="50" w:type="dxa"/>
          <w:right w:w="100" w:type="dxa"/>
        </w:tblCellMar>
        <w:tblBorders>
          <w:top w:val="single" w:sz="22" w:space="0" w:color="000000"/>
          <w:left w:val="single" w:sz="22" w:space="0" w:color="000000"/>
          <w:bottom w:val="single" w:sz="22" w:space="0" w:color="000000"/>
          <w:right w:val="single" w:sz="22" w:space="0" w:color="000000"/>
          <w:insideH w:val="single" w:sz="4" w:space="0" w:color="B7B7B7"/>
          <w:insideV w:val="single" w:sz="4" w:space="0" w:color="B7B7B7"/>
        </w:tblBorders>
        <w:tblLook w:val="04A0" w:firstRow="1" w:lastRow="0" w:firstColumn="0" w:lastColumn="0" w:noHBand="0" w:noVBand="1"/>
      </w:tblPr>
      <w:tblGrid>
        <w:gridCol w:w="3600"/>
        <w:gridCol w:w="5400"/>
      </w:tblGrid>
      <w:tr>
        <w:tc>
          <w:tcPr>
            <w:tcW w:type="dxa" w:w="360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구분</w:t>
            </w:r>
          </w:p>
        </w:tc>
        <w:tc>
          <w:tcPr>
            <w:tcW w:type="dxa" w:w="5400"/>
            <w:vAlign w:val="center"/>
            <w:shd w:val="clear" w:color="auto" w:fill="D9D9D9"/>
            <w:tcBorders>
              <w:bottom w:val="double" w:sz="6" w:space="0" w:color="000000"/>
            </w:tcBorders>
          </w:tcPr>
          <w:p>
            <w:pPr>
              <w:spacing w:before="30" w:after="30" w:line="278" w:lineRule="auto"/>
              <w:jc w:val="center"/>
            </w:pPr>
            <w:r/>
            <w:r>
              <w:rPr>
                <w:rFonts w:ascii="맑은 고딕" w:hAnsi="맑은 고딕" w:eastAsia="맑은 고딕"/>
                <w:b/>
                <w:color w:val="000000"/>
                <w:sz w:val="18"/>
              </w:rPr>
              <w:t>근거 조항</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처리업자 준수사항 (보관 장소)</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제25조 제9항 제1호</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처리업자 준수사항 (양·기간 초과 금지)</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제25조 제9항 제2호</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보관량·보관기간 위임 기준</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시행규칙 제31조 제1항</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수집운반업 임시보관</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시행규칙 제31조 제1항 제1호 (가목·나목)</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재활용업 승인 임시보관</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시행규칙 제31조 제1항 제2호 (가목·나목·다목)</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재활용 60일</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시행규칙 제31조 제1항 제3호 가목</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재활용 180일</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시행규칙 제31조 제1항 제3호 나목</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일반 보관 30일</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시행규칙 제31조 제1항 제4호</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태반</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시행규칙 제31조 제1항 제5호</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재활용가능자원 비축</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시행규칙 제31조 제1항 제5호의2</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중간처분업 의료폐기물</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시행규칙 제31조 제1항 제6호</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감염병 재난 시 처리기한</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시행규칙 제31조 제1항 제7호</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초과 금지·연장</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시행규칙 제31조 제2항</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임시보관시설 인정·설치 근거</w:t>
            </w:r>
          </w:p>
        </w:tc>
        <w:tc>
          <w:tcPr>
            <w:tcW w:type="dxa" w:w="5400"/>
            <w:vAlign w:val="center"/>
          </w:tcPr>
          <w:p>
            <w:pPr>
              <w:spacing w:before="30" w:after="30" w:line="278" w:lineRule="auto"/>
              <w:jc w:val="left"/>
            </w:pPr>
            <w:r/>
            <w:r>
              <w:rPr>
                <w:rFonts w:ascii="맑은 고딕" w:hAnsi="맑은 고딕" w:eastAsia="맑은 고딕"/>
                <w:b w:val="0"/>
                <w:color w:val="1A1A1A"/>
                <w:sz w:val="18"/>
              </w:rPr>
              <w:t>폐기물관리법 시행령 제7조 제1항 제6호 → 시행규칙 제11조</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폐합성수지 제외 대상</w:t>
            </w:r>
          </w:p>
        </w:tc>
        <w:tc>
          <w:tcPr>
            <w:tcW w:type="dxa" w:w="5400"/>
            <w:vAlign w:val="center"/>
          </w:tcPr>
          <w:p>
            <w:pPr>
              <w:spacing w:before="30" w:after="30" w:line="278" w:lineRule="auto"/>
              <w:jc w:val="left"/>
            </w:pPr>
            <w:r/>
            <w:r>
              <w:rPr>
                <w:rFonts w:ascii="맑은 고딕" w:hAnsi="맑은 고딕" w:eastAsia="맑은 고딕"/>
                <w:b w:val="0"/>
                <w:color w:val="1A1A1A"/>
                <w:sz w:val="18"/>
              </w:rPr>
              <w:t>자원의 절약과 재활용촉진에 관한 법률 시행령 제18조 제1호·제3호·제8호·제9호·제10호</w:t>
            </w:r>
          </w:p>
        </w:tc>
      </w:tr>
      <w:tr>
        <w:tc>
          <w:tcPr>
            <w:tcW w:type="dxa" w:w="3600"/>
            <w:vAlign w:val="center"/>
            <w:shd w:val="clear" w:color="auto" w:fill="F2F2F2"/>
          </w:tcPr>
          <w:p>
            <w:pPr>
              <w:spacing w:before="30" w:after="30" w:line="278" w:lineRule="auto"/>
              <w:jc w:val="center"/>
            </w:pPr>
            <w:r/>
            <w:r>
              <w:rPr>
                <w:rFonts w:ascii="맑은 고딕" w:hAnsi="맑은 고딕" w:eastAsia="맑은 고딕"/>
                <w:b/>
                <w:color w:val="1A1A1A"/>
                <w:sz w:val="18"/>
              </w:rPr>
              <w:t>비축 고시 위임</w:t>
            </w:r>
          </w:p>
        </w:tc>
        <w:tc>
          <w:tcPr>
            <w:tcW w:type="dxa" w:w="5400"/>
            <w:vAlign w:val="center"/>
          </w:tcPr>
          <w:p>
            <w:pPr>
              <w:spacing w:before="30" w:after="30" w:line="278" w:lineRule="auto"/>
              <w:jc w:val="left"/>
            </w:pPr>
            <w:r/>
            <w:r>
              <w:rPr>
                <w:rFonts w:ascii="맑은 고딕" w:hAnsi="맑은 고딕" w:eastAsia="맑은 고딕"/>
                <w:b w:val="0"/>
                <w:color w:val="1A1A1A"/>
                <w:sz w:val="18"/>
              </w:rPr>
              <w:t>자원의 절약과 재활용촉진에 관한 법률 제34조의5 제5항</w:t>
            </w:r>
          </w:p>
        </w:tc>
      </w:tr>
    </w:tbl>
    <w:p>
      <w:pPr>
        <w:spacing w:after="100"/>
      </w:pPr>
    </w:p>
    <w:p>
      <w:pPr>
        <w:pStyle w:val="2"/>
      </w:pPr>
      <w:r>
        <w:rPr>
          <w:rFonts w:ascii="맑은 고딕" w:hAnsi="맑은 고딕" w:eastAsia="맑은 고딕"/>
        </w:rPr>
        <w:t>8. 원문 발췌 (관련 법령 전부)</w:t>
      </w:r>
    </w:p>
    <w:p>
      <w:pPr>
        <w:pStyle w:val="cite1"/>
      </w:pPr>
      <w:r>
        <w:rPr>
          <w:rFonts w:ascii="맑은 고딕" w:hAnsi="맑은 고딕" w:eastAsia="맑은 고딕"/>
        </w:rPr>
        <w:t>폐기물관리법 제25조 제9항 (처리업자의 준수사항)</w:t>
      </w:r>
    </w:p>
    <w:p>
      <w:pPr>
        <w:spacing w:after="100"/>
      </w:pPr>
      <w:r>
        <w:rPr>
          <w:rFonts w:ascii="맑은 고딕" w:hAnsi="맑은 고딕" w:eastAsia="맑은 고딕"/>
          <w:color w:val="333333"/>
          <w:sz w:val="18"/>
        </w:rPr>
        <w:t>폐기물처리업자는 다음 각 호의 준수사항을 지켜야 한다.  제1호  폐기물을 허가받은 사업장 내 보관시설이나 승인받은 임시보관시설 등 적정한 장소에 보관할 것.  제2호  기후에너지환경부령으로 정하는 양 또는 기간을 초과하여 폐기물을 보관하지 말 것. (이하 제3호부터 제6호까지 생략)</w:t>
      </w:r>
    </w:p>
    <w:p>
      <w:pPr>
        <w:pStyle w:val="cite1"/>
      </w:pPr>
      <w:r>
        <w:rPr>
          <w:rFonts w:ascii="맑은 고딕" w:hAnsi="맑은 고딕" w:eastAsia="맑은 고딕"/>
        </w:rPr>
        <w:t>폐기물관리법 시행규칙 제31조 제1항 (보관량 및 보관기간)</w:t>
      </w:r>
    </w:p>
    <w:p>
      <w:pPr>
        <w:spacing w:after="100"/>
      </w:pPr>
      <w:r>
        <w:rPr>
          <w:rFonts w:ascii="맑은 고딕" w:hAnsi="맑은 고딕" w:eastAsia="맑은 고딕"/>
          <w:color w:val="333333"/>
          <w:sz w:val="18"/>
        </w:rPr>
        <w:t>법 제25조 제9항 제2호에서 '기후에너지환경부령으로 정하는 양 또는 기간'이란 다음 각 호와 같다.</w:t>
      </w:r>
      <w:r>
        <w:br/>
      </w:r>
      <w:r>
        <w:rPr>
          <w:rFonts w:ascii="맑은 고딕" w:hAnsi="맑은 고딕" w:eastAsia="맑은 고딕"/>
          <w:color w:val="333333"/>
          <w:sz w:val="18"/>
        </w:rPr>
        <w:t>제1호  폐기물 수집·운반업자가 임시보관장소에 폐기물을 보관하는 경우</w:t>
      </w:r>
      <w:r>
        <w:br/>
      </w:r>
      <w:r>
        <w:rPr>
          <w:rFonts w:ascii="맑은 고딕" w:hAnsi="맑은 고딕" w:eastAsia="맑은 고딕"/>
          <w:color w:val="333333"/>
          <w:sz w:val="18"/>
        </w:rPr>
        <w:t xml:space="preserve">  가목  의료폐기물: 냉장 보관할 수 있는 섭씨 4도 이하의 전용보관시설은 5일 이내, 그 밖의 보관시설은 2일 이내. 다만 격리의료폐기물은 보관시설과 무관하게 2일 이내.</w:t>
      </w:r>
      <w:r>
        <w:br/>
      </w:r>
      <w:r>
        <w:rPr>
          <w:rFonts w:ascii="맑은 고딕" w:hAnsi="맑은 고딕" w:eastAsia="맑은 고딕"/>
          <w:color w:val="333333"/>
          <w:sz w:val="18"/>
        </w:rPr>
        <w:t xml:space="preserve">  나목  의료폐기물 외의 폐기물: 중량 450톤 이하이고 용적 300세제곱미터 이하, 5일 이내</w:t>
      </w:r>
      <w:r>
        <w:br/>
      </w:r>
      <w:r>
        <w:rPr>
          <w:rFonts w:ascii="맑은 고딕" w:hAnsi="맑은 고딕" w:eastAsia="맑은 고딕"/>
          <w:color w:val="333333"/>
          <w:sz w:val="18"/>
        </w:rPr>
        <w:t>제2호  폐기물 재활용업자가 제11조 제2항 및 제3항에 따라 승인받은 임시보관시설에 보관하는 경우</w:t>
      </w:r>
      <w:r>
        <w:br/>
      </w:r>
      <w:r>
        <w:rPr>
          <w:rFonts w:ascii="맑은 고딕" w:hAnsi="맑은 고딕" w:eastAsia="맑은 고딕"/>
          <w:color w:val="333333"/>
          <w:sz w:val="18"/>
        </w:rPr>
        <w:t xml:space="preserve">  가목  폐전주: 3월~11월 50톤 미만, 12월~다음 해 2월 100톤 미만</w:t>
      </w:r>
      <w:r>
        <w:br/>
      </w:r>
      <w:r>
        <w:rPr>
          <w:rFonts w:ascii="맑은 고딕" w:hAnsi="맑은 고딕" w:eastAsia="맑은 고딕"/>
          <w:color w:val="333333"/>
          <w:sz w:val="18"/>
        </w:rPr>
        <w:t xml:space="preserve">  나목  동물성 잔재물: 중량 150톤 미만, 1일 이내</w:t>
      </w:r>
      <w:r>
        <w:br/>
      </w:r>
      <w:r>
        <w:rPr>
          <w:rFonts w:ascii="맑은 고딕" w:hAnsi="맑은 고딕" w:eastAsia="맑은 고딕"/>
          <w:color w:val="333333"/>
          <w:sz w:val="18"/>
        </w:rPr>
        <w:t xml:space="preserve">  다목  수액팩·수액병(보건·의료기관 배출로 한정): 중량 5톤 미만, 5일 이내</w:t>
      </w:r>
      <w:r>
        <w:br/>
      </w:r>
      <w:r>
        <w:rPr>
          <w:rFonts w:ascii="맑은 고딕" w:hAnsi="맑은 고딕" w:eastAsia="맑은 고딕"/>
          <w:color w:val="333333"/>
          <w:sz w:val="18"/>
        </w:rPr>
        <w:t>제3호  폐기물 재활용업자가 다음 폐기물을 재활용하기 위하여 보관하는 경우</w:t>
      </w:r>
      <w:r>
        <w:br/>
      </w:r>
      <w:r>
        <w:rPr>
          <w:rFonts w:ascii="맑은 고딕" w:hAnsi="맑은 고딕" w:eastAsia="맑은 고딕"/>
          <w:color w:val="333333"/>
          <w:sz w:val="18"/>
        </w:rPr>
        <w:t xml:space="preserve">  가목  1일 재활용량의 60일분 보관량 이하, 60일 이내</w:t>
      </w:r>
      <w:r>
        <w:br/>
      </w:r>
      <w:r>
        <w:rPr>
          <w:rFonts w:ascii="맑은 고딕" w:hAnsi="맑은 고딕" w:eastAsia="맑은 고딕"/>
          <w:color w:val="333333"/>
          <w:sz w:val="18"/>
        </w:rPr>
        <w:t xml:space="preserve">    1) 폐석고(도자기 제조시설 발생 한정)·폐고무·광재·폐내화물·폐도자기조각·폐합성수지(재활용법 시행령 제18조 제1호·제3호·제8호부터 제10호까지 해당분은 제외)·폐금속류·폐지·폐유리·폐콘크리트전주·폐석재·폐레미콘</w:t>
      </w:r>
      <w:r>
        <w:br/>
      </w:r>
      <w:r>
        <w:rPr>
          <w:rFonts w:ascii="맑은 고딕" w:hAnsi="맑은 고딕" w:eastAsia="맑은 고딕"/>
          <w:color w:val="333333"/>
          <w:sz w:val="18"/>
        </w:rPr>
        <w:t xml:space="preserve">    2) 토기·자기·내화물·시멘트·콘크리트·석제품 제조·가공시설, 세륜시설, 정수시설, 비금속광물 분쇄시설, 토사세척시설에서 발생되는 무기성 오니</w:t>
      </w:r>
      <w:r>
        <w:br/>
      </w:r>
      <w:r>
        <w:rPr>
          <w:rFonts w:ascii="맑은 고딕" w:hAnsi="맑은 고딕" w:eastAsia="맑은 고딕"/>
          <w:color w:val="333333"/>
          <w:sz w:val="18"/>
        </w:rPr>
        <w:t xml:space="preserve">  나목  폐목재·폐촉매·폐김발장·석탄재·리튬이차전지(제조 부산물)·전기자동차 폐이차전지·태양광 폐패널·특정 수입폐기물: 1일 재활용량의 180일분 보관량 이하, 180일 이내</w:t>
      </w:r>
      <w:r>
        <w:br/>
      </w:r>
      <w:r>
        <w:rPr>
          <w:rFonts w:ascii="맑은 고딕" w:hAnsi="맑은 고딕" w:eastAsia="맑은 고딕"/>
          <w:color w:val="333333"/>
          <w:sz w:val="18"/>
        </w:rPr>
        <w:t>제4호  폐기물 재활용업자·중간처분업자·종합처분업자가 폐기물을 보관(의료폐기물 또는 제2호·제3호·제5호의2 보관은 제외)하는 경우: 1일 처리용량의 30일분 보관량 이하, 30일 이내(매립시설 구획 폐석면 매립은 6개월 이내)</w:t>
      </w:r>
      <w:r>
        <w:br/>
      </w:r>
      <w:r>
        <w:rPr>
          <w:rFonts w:ascii="맑은 고딕" w:hAnsi="맑은 고딕" w:eastAsia="맑은 고딕"/>
          <w:color w:val="333333"/>
          <w:sz w:val="18"/>
        </w:rPr>
        <w:t>제5호  폐기물 재활용업자가 의료폐기물(태반 한정)을 보관하는 경우: 가목 제11조 제1항 제2호 임시보관시설 중량 5톤 미만, 5일 이내 / 나목 그 밖의 경우 1일 재활용량의 7일분 이하, 7일 이내</w:t>
      </w:r>
      <w:r>
        <w:br/>
      </w:r>
      <w:r>
        <w:rPr>
          <w:rFonts w:ascii="맑은 고딕" w:hAnsi="맑은 고딕" w:eastAsia="맑은 고딕"/>
          <w:color w:val="333333"/>
          <w:sz w:val="18"/>
        </w:rPr>
        <w:t>제5호의2  폐기물 재활용업자가 제11조 제1항 제5호에 따른 비축 시설에 재활용가능자원을 비축하는 경우: 재활용법 제34조의5 제5항에 따른 장관 고시에 따른 양 또는 기간</w:t>
      </w:r>
      <w:r>
        <w:br/>
      </w:r>
      <w:r>
        <w:rPr>
          <w:rFonts w:ascii="맑은 고딕" w:hAnsi="맑은 고딕" w:eastAsia="맑은 고딕"/>
          <w:color w:val="333333"/>
          <w:sz w:val="18"/>
        </w:rPr>
        <w:t>제6호  폐기물 중간처분업자가 의료폐기물을 보관하는 경우: 1일 처분용량의 5일분 보관량 이하, 5일 이내. 다만 격리의료폐기물 및 조직물류폐기물은 2일분 이하, 2일 이내</w:t>
      </w:r>
      <w:r>
        <w:br/>
      </w:r>
      <w:r>
        <w:rPr>
          <w:rFonts w:ascii="맑은 고딕" w:hAnsi="맑은 고딕" w:eastAsia="맑은 고딕"/>
          <w:color w:val="333333"/>
          <w:sz w:val="18"/>
        </w:rPr>
        <w:t>제7호  기후에너지환경부장관은 제1호·제6호에도 불구하고 감염병 확산으로 재난 예보·경보가 발령되거나 확산 방지에 필요하다고 인정하는 경우 의료폐기물의 처리기한을 따로 정할 수 있다.</w:t>
      </w:r>
    </w:p>
    <w:p>
      <w:pPr>
        <w:pStyle w:val="cite1"/>
      </w:pPr>
      <w:r>
        <w:rPr>
          <w:rFonts w:ascii="맑은 고딕" w:hAnsi="맑은 고딕" w:eastAsia="맑은 고딕"/>
        </w:rPr>
        <w:t>폐기물관리법 시행규칙 제31조 제2항 (초과 금지와 연장)</w:t>
      </w:r>
    </w:p>
    <w:p>
      <w:pPr>
        <w:spacing w:after="100"/>
      </w:pPr>
      <w:r>
        <w:rPr>
          <w:rFonts w:ascii="맑은 고딕" w:hAnsi="맑은 고딕" w:eastAsia="맑은 고딕"/>
          <w:color w:val="333333"/>
          <w:sz w:val="18"/>
        </w:rPr>
        <w:t>폐기물처리업자는 허가나 승인을 받은 보관량 및 보관기간을 초과하여 폐기물을 보관할 수 없다. 다만, 화재 등 중대한 사고, 방치폐기물의 반입·보관 등으로 그 기간 이상 보관하여야 할 부득이한 사유가 있는 경우로서 시·도지사나 지방환경관서의 장의 승인을 받았을 때에는 그러하지 아니하다.</w:t>
      </w:r>
    </w:p>
    <w:p>
      <w:pPr>
        <w:pStyle w:val="cite1"/>
      </w:pPr>
      <w:r>
        <w:rPr>
          <w:rFonts w:ascii="맑은 고딕" w:hAnsi="맑은 고딕" w:eastAsia="맑은 고딕"/>
        </w:rPr>
        <w:t>폐기물관리법 시행규칙 제11조 (폐기물처리사업장 외의 장소에서의 폐기물보관시설 기준)</w:t>
      </w:r>
    </w:p>
    <w:p>
      <w:pPr>
        <w:spacing w:after="100"/>
      </w:pPr>
      <w:r>
        <w:rPr>
          <w:rFonts w:ascii="맑은 고딕" w:hAnsi="맑은 고딕" w:eastAsia="맑은 고딕"/>
          <w:color w:val="333333"/>
          <w:sz w:val="18"/>
        </w:rPr>
        <w:t>제1항  영 제7조 제1항 제6호 단서에서 '기후에너지환경부령으로 정하는 경우'란 폐기물 재활용업자 등이 임시보관시설 등에 폐기물을 보관하는 경우를 말한다(각 호에서 임시보관시설의 유형과 기준을 정함).  제2항·제3항  재활용업자가 임시보관시설을 설치·변경하려면 설치승인신청서를 시·도지사에게 제출하여 승인·변경승인을 받아야 한다.</w:t>
      </w:r>
    </w:p>
    <w:p>
      <w:pPr>
        <w:pStyle w:val="cite1"/>
      </w:pPr>
      <w:r>
        <w:rPr>
          <w:rFonts w:ascii="맑은 고딕" w:hAnsi="맑은 고딕" w:eastAsia="맑은 고딕"/>
        </w:rPr>
        <w:t>자원의 절약과 재활용촉진에 관한 법률 시행령 제18조 (재활용의무 대상 제품·포장재)</w:t>
      </w:r>
    </w:p>
    <w:p>
      <w:pPr>
        <w:spacing w:after="100"/>
      </w:pPr>
      <w:r>
        <w:rPr>
          <w:rFonts w:ascii="맑은 고딕" w:hAnsi="맑은 고딕" w:eastAsia="맑은 고딕"/>
          <w:color w:val="333333"/>
          <w:sz w:val="18"/>
        </w:rPr>
        <w:t>법 제16조 제1항에서 '대통령령으로 정하는 제품·포장재'란 다음 각 호의 것을 말한다.  제1호  합성수지재질의 포장재(용기류, 필름·시트형 포장재, 쟁반형 용기(tray) 포함) 등  제3호  합성수지재질의 1회용 봉투·쇼핑백(폐기물 종량제 봉투 제외)  제8호  합성수지재질의 수산물 양식용 부자(浮子)  제9호  곤포(뭉치) 사일리지용 필름  제10호  합성수지재질의 김발장. (폐기물관리법 시행규칙 제31조 제1항 제3호 가목 1)은 이 중 제1호·제3호·제8호부터 제10호까지에 해당하는 폐합성수지를 60일 대상에서 제외한다.)</w:t>
      </w:r>
    </w:p>
    <w:p>
      <w:pPr>
        <w:pStyle w:val="cite1"/>
      </w:pPr>
      <w:r>
        <w:rPr>
          <w:rFonts w:ascii="맑은 고딕" w:hAnsi="맑은 고딕" w:eastAsia="맑은 고딕"/>
        </w:rPr>
        <w:t>자원의 절약과 재활용촉진에 관한 법률 제34조의5 제5항 (비축 시설)</w:t>
      </w:r>
    </w:p>
    <w:p>
      <w:pPr>
        <w:spacing w:after="100"/>
      </w:pPr>
      <w:r>
        <w:rPr>
          <w:rFonts w:ascii="맑은 고딕" w:hAnsi="맑은 고딕" w:eastAsia="맑은 고딕"/>
          <w:color w:val="333333"/>
          <w:sz w:val="18"/>
        </w:rPr>
        <w:t>제3항 및 제4항에 따른 재활용가능자원등의 비축·보관·관리 및 비용 지원 등에 필요한 사항은 기후에너지환경부장관이 정하여 고시한다. (폐기물관리법 시행규칙 제31조 제1항 제5호의2의 비축 보관 양·기간은 이 고시에 따른다.)</w:t>
      </w:r>
    </w:p>
    <w:p>
      <w:pPr>
        <w:spacing w:after="20" w:before="120"/>
      </w:pPr>
      <w:r>
        <w:rPr>
          <w:rFonts w:ascii="맑은 고딕" w:hAnsi="맑은 고딕" w:eastAsia="맑은 고딕"/>
          <w:b/>
          <w:color w:val="1F3864"/>
          <w:sz w:val="20"/>
        </w:rPr>
        <w:t>한 줄 요약</w:t>
      </w:r>
    </w:p>
    <w:p>
      <w:pPr>
        <w:spacing w:after="120"/>
      </w:pPr>
      <w:r>
        <w:rPr>
          <w:rFonts w:ascii="맑은 고딕" w:hAnsi="맑은 고딕" w:eastAsia="맑은 고딕"/>
          <w:color w:val="333333"/>
          <w:sz w:val="19"/>
        </w:rPr>
        <w:t>30일은 시행규칙 제31조 제1항 제4호(일반 보관), 60일은 제3호 가목(특정 재활용), 180일은 제3호 나목입니다. 상위 근거는 법 제25조 제9항이고, 폐합성수지 제외와 비축은 재활용법을 함께 봅니다.</w:t>
      </w:r>
    </w:p>
    <w:p>
      <w:pPr>
        <w:pStyle w:val="src"/>
      </w:pPr>
      <w:r>
        <w:rPr>
          <w:rFonts w:ascii="맑은 고딕" w:hAnsi="맑은 고딕" w:eastAsia="맑은 고딕"/>
        </w:rPr>
        <w:t>기준 법령: 폐기물관리법·같은 법 시행령·같은 법 시행규칙, 자원의 절약과 재활용촉진에 관한 법률·같은 법 시행령 (국가법령정보센터 기준).</w:t>
      </w:r>
    </w:p>
    <w:p>
      <w:pPr>
        <w:pStyle w:val="mark"/>
      </w:pPr>
      <w:r>
        <w:rPr>
          <w:rFonts w:ascii="맑은 고딕" w:hAnsi="맑은 고딕" w:eastAsia="맑은 고딕"/>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