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after="40"/>
      </w:pPr>
      <w:r>
        <w:rPr>
          <w:rFonts w:ascii="맑은 고딕" w:hAnsi="맑은 고딕" w:eastAsia="맑은 고딕"/>
          <w:b/>
          <w:color w:val="000000"/>
          <w:sz w:val="31"/>
        </w:rPr>
        <w:t>건설폐기물 처리업 변경허가·변경신고 총정리</w:t>
      </w:r>
    </w:p>
    <w:p>
      <w:pPr>
        <w:pStyle w:val="law1"/>
      </w:pPr>
      <w:r>
        <w:rPr>
          <w:rFonts w:ascii="맑은 고딕" w:hAnsi="맑은 고딕" w:eastAsia="맑은 고딕"/>
          <w:color w:val="000000"/>
        </w:rPr>
        <w:t>건설폐기물의 재활용촉진에 관한 법률 제22조 · 시행규칙 제13조·제13조의2</w:t>
      </w:r>
    </w:p>
    <w:p>
      <w:pPr>
        <w:spacing w:after="200" w:line="348" w:lineRule="auto"/>
      </w:pPr>
      <w:r>
        <w:rPr>
          <w:rFonts w:ascii="맑은 고딕" w:hAnsi="맑은 고딕" w:eastAsia="맑은 고딕"/>
          <w:color w:val="000000"/>
          <w:sz w:val="20"/>
        </w:rPr>
        <w:t>건설폐기물 처리업 허가를 받은 자가 허가받은 사항을 변경할 때, 중요 사항이면 변경허가를 받아야 하고(법 제22조 제1항) 경미한 사항이면 변경신고를 합니다(법 제22조 제2항). 아래에 변경허가 대상·절차와 변경신고 대상·시기를 나누어 정리합니다.</w:t>
      </w:r>
    </w:p>
    <w:p>
      <w:pPr>
        <w:pStyle w:val="2"/>
      </w:pPr>
      <w:r>
        <w:rPr>
          <w:rFonts w:ascii="맑은 고딕" w:hAnsi="맑은 고딕" w:eastAsia="맑은 고딕"/>
          <w:color w:val="000000"/>
        </w:rPr>
        <w:t>1. 변경허가 대상 중요사항</w:t>
      </w:r>
    </w:p>
    <w:p>
      <w:pPr>
        <w:spacing w:after="80"/>
      </w:pPr>
      <w:r>
        <w:rPr>
          <w:rFonts w:ascii="맑은 고딕" w:hAnsi="맑은 고딕" w:eastAsia="맑은 고딕"/>
          <w:color w:val="000000"/>
          <w:sz w:val="18"/>
        </w:rPr>
        <w:t>근거: 건설폐기물법 시행규칙 제13조 제1항</w:t>
      </w:r>
    </w:p>
    <w:tbl>
      <w:tblPr>
        <w:tblW w:w="5000" w:type="pct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4" w:space="0" w:color="B7B7B7"/>
          <w:insideV w:val="single" w:sz="4" w:space="0" w:color="B7B7B7"/>
        </w:tblBorders>
        <w:tblLook w:val="04A0" w:firstRow="1" w:lastRow="0" w:firstColumn="0" w:lastColumn="0" w:noHBand="0" w:noVBand="1"/>
      </w:tblPr>
      <w:tblGrid>
        <w:gridCol w:w="1080"/>
        <w:gridCol w:w="7920"/>
      </w:tblGrid>
      <w:tr>
        <w:trPr>
          <w:tblHeader w:val="true"/>
        </w:trPr>
        <w:tc>
          <w:tcPr>
            <w:tcW w:type="dxa" w:w="108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호</w:t>
            </w:r>
          </w:p>
        </w:tc>
        <w:tc>
          <w:tcPr>
            <w:tcW w:type="dxa" w:w="792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변경허가 대상 중요사항</w:t>
            </w:r>
          </w:p>
        </w:tc>
      </w:tr>
      <w:tr>
        <w:tc>
          <w:tcPr>
            <w:tcW w:type="dxa" w:w="10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제1호</w:t>
            </w:r>
          </w:p>
        </w:tc>
        <w:tc>
          <w:tcPr>
            <w:tcW w:type="dxa" w:w="79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수집·운반 또는 중간처리 대상 건설폐기물의 변경</w:t>
            </w:r>
          </w:p>
        </w:tc>
      </w:tr>
      <w:tr>
        <w:tc>
          <w:tcPr>
            <w:tcW w:type="dxa" w:w="10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제2호</w:t>
            </w:r>
          </w:p>
        </w:tc>
        <w:tc>
          <w:tcPr>
            <w:tcW w:type="dxa" w:w="79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건설폐기물 처리시설 소재지의 변경</w:t>
            </w:r>
          </w:p>
        </w:tc>
      </w:tr>
      <w:tr>
        <w:tc>
          <w:tcPr>
            <w:tcW w:type="dxa" w:w="10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제3호</w:t>
            </w:r>
          </w:p>
        </w:tc>
        <w:tc>
          <w:tcPr>
            <w:tcW w:type="dxa" w:w="79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운반차량(폐기물관리법 시행규칙 별표5 제6호 임시차량은 제외)의 증차</w:t>
            </w:r>
          </w:p>
        </w:tc>
      </w:tr>
      <w:tr>
        <w:tc>
          <w:tcPr>
            <w:tcW w:type="dxa" w:w="10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제4호</w:t>
            </w:r>
          </w:p>
        </w:tc>
        <w:tc>
          <w:tcPr>
            <w:tcW w:type="dxa" w:w="79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건설폐기물 처리시설 또는 순환아스팔트콘크리트 생산시설의 신설</w:t>
            </w:r>
          </w:p>
        </w:tc>
      </w:tr>
      <w:tr>
        <w:tc>
          <w:tcPr>
            <w:tcW w:type="dxa" w:w="10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제5호</w:t>
            </w:r>
          </w:p>
        </w:tc>
        <w:tc>
          <w:tcPr>
            <w:tcW w:type="dxa" w:w="79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허가·변경허가 받은 처리용량의 30% 이상 변경 (변경 누계)</w:t>
            </w:r>
          </w:p>
        </w:tc>
      </w:tr>
      <w:tr>
        <w:tc>
          <w:tcPr>
            <w:tcW w:type="dxa" w:w="10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제6호</w:t>
            </w:r>
          </w:p>
        </w:tc>
        <w:tc>
          <w:tcPr>
            <w:tcW w:type="dxa" w:w="79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주요설비의 변경 (구조변경으로 배출시설 변경허가·변경신고 대상이 되는 경우, 습식 파쇄·분쇄시설로 구조변경한 경우만 해당)</w:t>
            </w:r>
          </w:p>
        </w:tc>
      </w:tr>
      <w:tr>
        <w:tc>
          <w:tcPr>
            <w:tcW w:type="dxa" w:w="10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제7호</w:t>
            </w:r>
          </w:p>
        </w:tc>
        <w:tc>
          <w:tcPr>
            <w:tcW w:type="dxa" w:w="79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허용보관량의 변경</w:t>
            </w:r>
          </w:p>
        </w:tc>
      </w:tr>
      <w:tr>
        <w:tc>
          <w:tcPr>
            <w:tcW w:type="dxa" w:w="10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제8호</w:t>
            </w:r>
          </w:p>
        </w:tc>
        <w:tc>
          <w:tcPr>
            <w:tcW w:type="dxa" w:w="79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사업장 부지의 확장 또는 축소</w:t>
            </w:r>
          </w:p>
        </w:tc>
      </w:tr>
    </w:tbl>
    <w:p>
      <w:pPr>
        <w:spacing w:after="100"/>
      </w:pPr>
    </w:p>
    <w:p>
      <w:pPr>
        <w:pStyle w:val="2"/>
      </w:pPr>
      <w:r>
        <w:rPr>
          <w:rFonts w:ascii="맑은 고딕" w:hAnsi="맑은 고딕" w:eastAsia="맑은 고딕"/>
          <w:color w:val="000000"/>
        </w:rPr>
        <w:t>2. 변경허가 절차</w:t>
      </w:r>
    </w:p>
    <w:p>
      <w:pPr>
        <w:spacing w:after="80"/>
      </w:pPr>
      <w:r>
        <w:rPr>
          <w:rFonts w:ascii="맑은 고딕" w:hAnsi="맑은 고딕" w:eastAsia="맑은 고딕"/>
          <w:color w:val="000000"/>
          <w:sz w:val="18"/>
        </w:rPr>
        <w:t>근거: 건설폐기물법 시행규칙 제13조 제2항~제6항</w:t>
      </w:r>
    </w:p>
    <w:tbl>
      <w:tblPr>
        <w:tblW w:w="5000" w:type="pct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4" w:space="0" w:color="B7B7B7"/>
          <w:insideV w:val="single" w:sz="4" w:space="0" w:color="B7B7B7"/>
        </w:tblBorders>
        <w:tblLook w:val="04A0" w:firstRow="1" w:lastRow="0" w:firstColumn="0" w:lastColumn="0" w:noHBand="0" w:noVBand="1"/>
      </w:tblPr>
      <w:tblGrid>
        <w:gridCol w:w="1980"/>
        <w:gridCol w:w="7020"/>
      </w:tblGrid>
      <w:tr>
        <w:trPr>
          <w:tblHeader w:val="true"/>
        </w:trPr>
        <w:tc>
          <w:tcPr>
            <w:tcW w:type="dxa" w:w="198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702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내용</w:t>
            </w:r>
          </w:p>
        </w:tc>
      </w:tr>
      <w:tr>
        <w:tc>
          <w:tcPr>
            <w:tcW w:type="dxa" w:w="19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① 변경계획서 제출</w:t>
            </w:r>
          </w:p>
        </w:tc>
        <w:tc>
          <w:tcPr>
            <w:tcW w:type="dxa" w:w="70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별지 제10호서식 건설폐기물 처리업 변경계획서에 허가증·변경내용 증명서류 등을 첨부하여 시·도지사에게 제출</w:t>
            </w:r>
          </w:p>
        </w:tc>
      </w:tr>
      <w:tr>
        <w:tc>
          <w:tcPr>
            <w:tcW w:type="dxa" w:w="19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② 적합 통보</w:t>
            </w:r>
          </w:p>
        </w:tc>
        <w:tc>
          <w:tcPr>
            <w:tcW w:type="dxa" w:w="70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시·도지사가 변경계획서를 검토하여 계획의 적절성을 통보</w:t>
            </w:r>
          </w:p>
        </w:tc>
      </w:tr>
      <w:tr>
        <w:tc>
          <w:tcPr>
            <w:tcW w:type="dxa" w:w="19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③ 변경허가 신청</w:t>
            </w:r>
          </w:p>
        </w:tc>
        <w:tc>
          <w:tcPr>
            <w:tcW w:type="dxa" w:w="70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적합통보를 받은 날부터 1년(수집·운반업은 6개월) 이내에 별지 제11호서식 변경허가신청서를 제출</w:t>
            </w:r>
          </w:p>
        </w:tc>
      </w:tr>
      <w:tr>
        <w:tc>
          <w:tcPr>
            <w:tcW w:type="dxa" w:w="19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④ 허가증 재교부</w:t>
            </w:r>
          </w:p>
        </w:tc>
        <w:tc>
          <w:tcPr>
            <w:tcW w:type="dxa" w:w="70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변경허가 후 변경된 사항을 기재하여 허가증 재교부</w:t>
            </w:r>
          </w:p>
        </w:tc>
      </w:tr>
    </w:tbl>
    <w:p>
      <w:pPr>
        <w:spacing w:after="100"/>
      </w:pPr>
    </w:p>
    <w:p>
      <w:pPr>
        <w:pStyle w:val="note"/>
      </w:pPr>
      <w:r>
        <w:rPr>
          <w:rFonts w:ascii="맑은 고딕" w:hAnsi="맑은 고딕" w:eastAsia="맑은 고딕"/>
          <w:color w:val="000000"/>
        </w:rPr>
        <w:t>※ 천재지변 등 부득이한 사유로 기간 내에 신청하지 못한 경우, 신청에 따라 기간을 연장할 수 있습니다.</w:t>
      </w:r>
    </w:p>
    <w:p>
      <w:pPr>
        <w:pStyle w:val="2"/>
      </w:pPr>
      <w:r>
        <w:rPr>
          <w:rFonts w:ascii="맑은 고딕" w:hAnsi="맑은 고딕" w:eastAsia="맑은 고딕"/>
          <w:color w:val="000000"/>
        </w:rPr>
        <w:t>3. 변경신고 대상 및 시기</w:t>
      </w:r>
    </w:p>
    <w:p>
      <w:pPr>
        <w:spacing w:after="80"/>
      </w:pPr>
      <w:r>
        <w:rPr>
          <w:rFonts w:ascii="맑은 고딕" w:hAnsi="맑은 고딕" w:eastAsia="맑은 고딕"/>
          <w:color w:val="000000"/>
          <w:sz w:val="18"/>
        </w:rPr>
        <w:t>근거: 건설폐기물법 시행규칙 제13조의2 제1항·제2항</w:t>
      </w:r>
    </w:p>
    <w:tbl>
      <w:tblPr>
        <w:tblW w:w="5000" w:type="pct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4" w:space="0" w:color="B7B7B7"/>
          <w:insideV w:val="single" w:sz="4" w:space="0" w:color="B7B7B7"/>
        </w:tblBorders>
        <w:tblLook w:val="04A0" w:firstRow="1" w:lastRow="0" w:firstColumn="0" w:lastColumn="0" w:noHBand="0" w:noVBand="1"/>
      </w:tblPr>
      <w:tblGrid>
        <w:gridCol w:w="900"/>
        <w:gridCol w:w="5940"/>
        <w:gridCol w:w="2160"/>
      </w:tblGrid>
      <w:tr>
        <w:trPr>
          <w:tblHeader w:val="true"/>
        </w:trPr>
        <w:tc>
          <w:tcPr>
            <w:tcW w:type="dxa" w:w="90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호</w:t>
            </w:r>
          </w:p>
        </w:tc>
        <w:tc>
          <w:tcPr>
            <w:tcW w:type="dxa" w:w="594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변경신고 대상 경미한 사항</w:t>
            </w:r>
          </w:p>
        </w:tc>
        <w:tc>
          <w:tcPr>
            <w:tcW w:type="dxa" w:w="216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신고 시기</w:t>
            </w:r>
          </w:p>
        </w:tc>
      </w:tr>
      <w:tr>
        <w:tc>
          <w:tcPr>
            <w:tcW w:type="dxa" w:w="90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제1호</w:t>
            </w:r>
          </w:p>
        </w:tc>
        <w:tc>
          <w:tcPr>
            <w:tcW w:type="dxa" w:w="594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상호의 변경 (권리·의무 승계에 따른 변경은 제외)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사유 발생일부터 30일 이내</w:t>
            </w:r>
          </w:p>
        </w:tc>
      </w:tr>
      <w:tr>
        <w:tc>
          <w:tcPr>
            <w:tcW w:type="dxa" w:w="90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제2호</w:t>
            </w:r>
          </w:p>
        </w:tc>
        <w:tc>
          <w:tcPr>
            <w:tcW w:type="dxa" w:w="594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대표자의 변경 (권리·의무 승계에 따른 변경은 제외)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사유 발생일부터 30일 이내</w:t>
            </w:r>
          </w:p>
        </w:tc>
      </w:tr>
      <w:tr>
        <w:tc>
          <w:tcPr>
            <w:tcW w:type="dxa" w:w="90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제3호</w:t>
            </w:r>
          </w:p>
        </w:tc>
        <w:tc>
          <w:tcPr>
            <w:tcW w:type="dxa" w:w="594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연락장소 또는 사무실 소재지의 변경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변경 전</w:t>
            </w:r>
          </w:p>
        </w:tc>
      </w:tr>
      <w:tr>
        <w:tc>
          <w:tcPr>
            <w:tcW w:type="dxa" w:w="90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제4호</w:t>
            </w:r>
          </w:p>
        </w:tc>
        <w:tc>
          <w:tcPr>
            <w:tcW w:type="dxa" w:w="594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운반차량의 감차 또는 교체 (임시차량 제외)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변경 전</w:t>
            </w:r>
          </w:p>
        </w:tc>
      </w:tr>
    </w:tbl>
    <w:p>
      <w:pPr>
        <w:spacing w:after="100"/>
      </w:pPr>
    </w:p>
    <w:p>
      <w:pPr>
        <w:pStyle w:val="note"/>
      </w:pPr>
      <w:r>
        <w:rPr>
          <w:rFonts w:ascii="맑은 고딕" w:hAnsi="맑은 고딕" w:eastAsia="맑은 고딕"/>
          <w:color w:val="000000"/>
        </w:rPr>
        <w:t>※ 신고서는 별지 제11호의2서식 건설폐기물 처리업 변경신고서이며, 허가증과 변경내용을 증명하는 서류를 첨부해 시·도지사에게 제출합니다. 시·도지사는 신고를 받은 날부터 20일 이내에 수리 여부를 통지해야 하고, 기간 내 통지가 없으면 수리한 것으로 봅니다(법 제22조 제3항·제4항).</w:t>
      </w:r>
    </w:p>
    <w:p>
      <w:pPr>
        <w:pStyle w:val="2"/>
      </w:pPr>
      <w:r>
        <w:rPr>
          <w:rFonts w:ascii="맑은 고딕" w:hAnsi="맑은 고딕" w:eastAsia="맑은 고딕"/>
          <w:color w:val="000000"/>
        </w:rPr>
        <w:t>4. 위반 시 벌칙</w:t>
      </w:r>
    </w:p>
    <w:tbl>
      <w:tblPr>
        <w:tblW w:w="5000" w:type="pct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4" w:space="0" w:color="B7B7B7"/>
          <w:insideV w:val="single" w:sz="4" w:space="0" w:color="B7B7B7"/>
        </w:tblBorders>
        <w:tblLook w:val="04A0" w:firstRow="1" w:lastRow="0" w:firstColumn="0" w:lastColumn="0" w:noHBand="0" w:noVBand="1"/>
      </w:tblPr>
      <w:tblGrid>
        <w:gridCol w:w="3960"/>
        <w:gridCol w:w="5040"/>
      </w:tblGrid>
      <w:tr>
        <w:trPr>
          <w:tblHeader w:val="true"/>
        </w:trPr>
        <w:tc>
          <w:tcPr>
            <w:tcW w:type="dxa" w:w="396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위반 행위</w:t>
            </w:r>
          </w:p>
        </w:tc>
        <w:tc>
          <w:tcPr>
            <w:tcW w:type="dxa" w:w="504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제재</w:t>
            </w:r>
          </w:p>
        </w:tc>
      </w:tr>
      <w:tr>
        <w:tc>
          <w:tcPr>
            <w:tcW w:type="dxa" w:w="396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변경허가를 받지 않고 중요 사항을 변경</w:t>
            </w:r>
          </w:p>
        </w:tc>
        <w:tc>
          <w:tcPr>
            <w:tcW w:type="dxa" w:w="504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3년 이하의 징역 또는 3천만원 이하의 벌금 (법 제63조 제4호)</w:t>
            </w:r>
          </w:p>
        </w:tc>
      </w:tr>
      <w:tr>
        <w:tc>
          <w:tcPr>
            <w:tcW w:type="dxa" w:w="396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변경신고를 하지 않고 신고사항을 변경</w:t>
            </w:r>
          </w:p>
        </w:tc>
        <w:tc>
          <w:tcPr>
            <w:tcW w:type="dxa" w:w="504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300만원 이하의 과태료 (법 제66조 제2항 제6호)</w:t>
            </w:r>
          </w:p>
        </w:tc>
      </w:tr>
    </w:tbl>
    <w:p>
      <w:pPr>
        <w:spacing w:after="100"/>
      </w:pPr>
    </w:p>
    <w:p>
      <w:pPr>
        <w:pStyle w:val="2"/>
      </w:pPr>
      <w:r>
        <w:rPr>
          <w:rFonts w:ascii="맑은 고딕" w:hAnsi="맑은 고딕" w:eastAsia="맑은 고딕"/>
          <w:color w:val="000000"/>
        </w:rPr>
        <w:t>5. 원문</w:t>
      </w:r>
    </w:p>
    <w:p>
      <w:pPr>
        <w:pStyle w:val="cite1"/>
        <w:spacing w:after="40" w:before="200"/>
      </w:pPr>
      <w:r>
        <w:rPr>
          <w:rFonts w:ascii="맑은 고딕" w:hAnsi="맑은 고딕" w:eastAsia="맑은 고딕"/>
          <w:color w:val="000000"/>
        </w:rPr>
        <w:t>건설폐기물의 재활용촉진에 관한 법률 제22조 (변경허가 등)</w:t>
      </w:r>
    </w:p>
    <w:p>
      <w:pPr>
        <w:spacing w:after="120" w:line="336" w:lineRule="auto"/>
      </w:pPr>
      <w:r>
        <w:rPr>
          <w:rFonts w:ascii="맑은 고딕" w:hAnsi="맑은 고딕" w:eastAsia="맑은 고딕"/>
          <w:color w:val="000000"/>
          <w:sz w:val="18"/>
        </w:rPr>
        <w:t>① 제21조 제3항에 따른 허가를 받은 자는 허가받은 사항 중 기후에너지환경부령으로 정하는 중요 사항을 변경하려면 변경허가를 받아야 한다.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② 제21조 제3항에 따른 허가를 받은 자가 허가받은 사항 중 기후에너지환경부령으로 정하는 경미한 사항을 변경하는 경우에는 변경신고를 하여야 한다.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③ 시·도지사는 제2항에 따른 변경신고를 받은 날부터 20일 이내에 신고수리 여부를 신고인에게 통지하여야 한다.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④ 시·도지사가 제3항에서 정한 기간 내에 신고수리 여부 등을 통지하지 아니하면 그 기간이 끝난 날의 다음 날에 신고를 수리한 것으로 본다.</w:t>
      </w:r>
    </w:p>
    <w:p>
      <w:pPr>
        <w:pStyle w:val="cite1"/>
        <w:spacing w:after="40" w:before="200"/>
      </w:pPr>
      <w:r>
        <w:rPr>
          <w:rFonts w:ascii="맑은 고딕" w:hAnsi="맑은 고딕" w:eastAsia="맑은 고딕"/>
          <w:color w:val="000000"/>
        </w:rPr>
        <w:t>같은 법 시행규칙 제13조 제1항 (변경허가 대상 중요 사항)</w:t>
      </w:r>
    </w:p>
    <w:p>
      <w:pPr>
        <w:spacing w:after="120" w:line="336" w:lineRule="auto"/>
      </w:pPr>
      <w:r>
        <w:rPr>
          <w:rFonts w:ascii="맑은 고딕" w:hAnsi="맑은 고딕" w:eastAsia="맑은 고딕"/>
          <w:color w:val="000000"/>
          <w:sz w:val="18"/>
        </w:rPr>
        <w:t>1. 수집·운반 또는 중간처리대상 건설폐기물의 변경  2. 건설폐기물 처리시설 소재지의 변경  3. 운반차량(임시차량 제외)의 증차  4. 건설폐기물 처리시설 또는 순환아스팔트콘크리트 생산시설의 신설  5. 처리용량의 30% 이상 변경(누계)  6. 주요설비의 변경(배출시설 변경허가·변경신고 대상이 되는 구조변경, 습식 파쇄·분쇄시설로의 구조변경만 해당)  7. 허용보관량의 변경  8. 사업장 부지의 확장 또는 축소</w:t>
      </w:r>
    </w:p>
    <w:p>
      <w:pPr>
        <w:pStyle w:val="cite1"/>
        <w:spacing w:after="40" w:before="200"/>
      </w:pPr>
      <w:r>
        <w:rPr>
          <w:rFonts w:ascii="맑은 고딕" w:hAnsi="맑은 고딕" w:eastAsia="맑은 고딕"/>
          <w:color w:val="000000"/>
        </w:rPr>
        <w:t>같은 법 시행규칙 제13조의2 (변경신고)</w:t>
      </w:r>
    </w:p>
    <w:p>
      <w:pPr>
        <w:spacing w:after="120" w:line="336" w:lineRule="auto"/>
      </w:pPr>
      <w:r>
        <w:rPr>
          <w:rFonts w:ascii="맑은 고딕" w:hAnsi="맑은 고딕" w:eastAsia="맑은 고딕"/>
          <w:color w:val="000000"/>
          <w:sz w:val="18"/>
        </w:rPr>
        <w:t>① 법 제22조 제2항의 경미한 사항이란 다음과 같다.  1. 상호의 변경(승계에 따른 경우 제외)  2. 대표자의 변경(승계에 따른 경우 제외)  3. 연락장소 또는 사무실 소재지의 변경  4. 운반차량의 감차 또는 교체(임시차량 제외).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② 변경신고하려는 자는 제1호·제2호는 사유 발생일부터 30일 이내에, 제3호·제4호는 변경 전에 각각 별지 제11호의2서식의 변경신고서에 허가증과 변경내용을 증명하는 서류를 첨부하여 시·도지사에게 제출해야 한다.</w:t>
      </w:r>
    </w:p>
    <w:p>
      <w:pPr>
        <w:pStyle w:val="src"/>
      </w:pPr>
      <w:r>
        <w:rPr>
          <w:rFonts w:ascii="맑은 고딕" w:hAnsi="맑은 고딕" w:eastAsia="맑은 고딕"/>
          <w:color w:val="000000"/>
        </w:rPr>
        <w:t>기준 법령: 건설폐기물의 재활용촉진에 관한 법률·같은 법 시행규칙 (국가법령정보센터, 시행규칙 2026.6.22 기준).</w:t>
      </w:r>
    </w:p>
    <w:p>
      <w:pPr>
        <w:pStyle w:val="mark"/>
      </w:pPr>
      <w:r>
        <w:rPr>
          <w:rFonts w:ascii="맑은 고딕" w:hAnsi="맑은 고딕" w:eastAsia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