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40"/>
      </w:pPr>
      <w:r>
        <w:rPr>
          <w:rFonts w:ascii="맑은 고딕" w:hAnsi="맑은 고딕" w:eastAsia="맑은 고딕"/>
          <w:b/>
          <w:color w:val="000000"/>
          <w:sz w:val="32"/>
        </w:rPr>
        <w:t>폐기물처리업 변경허가 총정리</w:t>
      </w:r>
    </w:p>
    <w:p>
      <w:pPr>
        <w:pStyle w:val="law1"/>
      </w:pPr>
      <w:r>
        <w:rPr>
          <w:rFonts w:ascii="맑은 고딕" w:hAnsi="맑은 고딕" w:eastAsia="맑은 고딕"/>
          <w:color w:val="000000"/>
        </w:rPr>
        <w:t>폐기물관리법 제25조 제11항 · 시행규칙 제29조</w:t>
      </w:r>
    </w:p>
    <w:p>
      <w:pPr>
        <w:spacing w:after="200" w:line="348" w:lineRule="auto"/>
      </w:pPr>
      <w:r>
        <w:rPr>
          <w:rFonts w:ascii="맑은 고딕" w:hAnsi="맑은 고딕" w:eastAsia="맑은 고딕"/>
          <w:color w:val="000000"/>
          <w:sz w:val="20"/>
        </w:rPr>
        <w:t>폐기물처리업 허가를 받은 자가 허가받은 사항을 변경할 때, 중요사항이면 변경허가를 받아야 하고 그 밖의 정해진 사항이면 변경신고를 합니다(폐기물관리법 제25조 제11항). 이 글은 변경허가를 받아야 하는 중요사항과 신청 방법을 업종별로 정리합니다.</w:t>
      </w:r>
    </w:p>
    <w:p>
      <w:pPr>
        <w:pStyle w:val="2"/>
      </w:pPr>
      <w:r>
        <w:rPr>
          <w:rFonts w:ascii="맑은 고딕" w:hAnsi="맑은 고딕" w:eastAsia="맑은 고딕"/>
          <w:color w:val="000000"/>
        </w:rPr>
        <w:t>1. 변경허가 대상 중요사항</w:t>
      </w:r>
    </w:p>
    <w:p>
      <w:pPr>
        <w:spacing w:after="80"/>
      </w:pPr>
      <w:r>
        <w:rPr>
          <w:rFonts w:ascii="맑은 고딕" w:hAnsi="맑은 고딕" w:eastAsia="맑은 고딕"/>
          <w:color w:val="000000"/>
          <w:sz w:val="18"/>
        </w:rPr>
        <w:t>근거: 폐기물관리법 시행규칙 제29조 제1항</w:t>
      </w:r>
    </w:p>
    <w:tbl>
      <w:tblPr>
        <w:tblW w:w="5000" w:type="pct"/>
        <w:tblCellMar>
          <w:top w:w="50" w:type="dxa"/>
          <w:left w:w="100" w:type="dxa"/>
          <w:bottom w:w="50" w:type="dxa"/>
          <w:right w:w="100" w:type="dxa"/>
        </w:tblCellMar>
        <w:tblBorders>
          <w:top w:val="single" w:sz="14" w:space="0" w:color="000000"/>
          <w:left w:val="single" w:sz="14" w:space="0" w:color="000000"/>
          <w:bottom w:val="single" w:sz="14" w:space="0" w:color="000000"/>
          <w:right w:val="single" w:sz="14" w:space="0" w:color="000000"/>
          <w:insideH w:val="single" w:sz="4" w:space="0" w:color="B7B7B7"/>
          <w:insideV w:val="single" w:sz="4" w:space="0" w:color="B7B7B7"/>
        </w:tblBorders>
        <w:tblLook w:val="04A0" w:firstRow="1" w:lastRow="0" w:firstColumn="0" w:lastColumn="0" w:noHBand="0" w:noVBand="1"/>
      </w:tblPr>
      <w:tblGrid>
        <w:gridCol w:w="2340"/>
        <w:gridCol w:w="6660"/>
      </w:tblGrid>
      <w:tr>
        <w:trPr>
          <w:tblHeader w:val="true"/>
        </w:trPr>
        <w:tc>
          <w:tcPr>
            <w:tcW w:type="dxa" w:w="2340"/>
            <w:vAlign w:val="center"/>
            <w:shd w:val="clear" w:color="auto" w:fill="D9D9D9"/>
            <w:tcBorders>
              <w:bottom w:val="double" w:sz="6" w:space="0" w:color="000000"/>
            </w:tcBorders>
          </w:tcPr>
          <w:p>
            <w:pPr>
              <w:spacing w:before="30" w:after="30" w:line="283" w:lineRule="auto"/>
              <w:jc w:val="center"/>
            </w:pPr>
            <w:r/>
            <w:r>
              <w:rPr>
                <w:rFonts w:ascii="맑은 고딕" w:hAnsi="맑은 고딕" w:eastAsia="맑은 고딕"/>
                <w:b/>
                <w:color w:val="000000"/>
                <w:sz w:val="18"/>
              </w:rPr>
              <w:t>업종</w:t>
            </w:r>
          </w:p>
        </w:tc>
        <w:tc>
          <w:tcPr>
            <w:tcW w:type="dxa" w:w="6660"/>
            <w:vAlign w:val="center"/>
            <w:shd w:val="clear" w:color="auto" w:fill="D9D9D9"/>
            <w:tcBorders>
              <w:bottom w:val="double" w:sz="6" w:space="0" w:color="000000"/>
            </w:tcBorders>
          </w:tcPr>
          <w:p>
            <w:pPr>
              <w:spacing w:before="30" w:after="30" w:line="283" w:lineRule="auto"/>
              <w:jc w:val="center"/>
            </w:pPr>
            <w:r/>
            <w:r>
              <w:rPr>
                <w:rFonts w:ascii="맑은 고딕" w:hAnsi="맑은 고딕" w:eastAsia="맑은 고딕"/>
                <w:b/>
                <w:color w:val="000000"/>
                <w:sz w:val="18"/>
              </w:rPr>
              <w:t>변경허가 대상 중요사항 (변경 전 미리 변경허가)</w:t>
            </w:r>
          </w:p>
        </w:tc>
      </w:tr>
      <w:tr>
        <w:tc>
          <w:tcPr>
            <w:tcW w:type="dxa" w:w="2340"/>
            <w:vAlign w:val="center"/>
            <w:shd w:val="clear" w:color="auto" w:fill="F2F2F2"/>
          </w:tcPr>
          <w:p>
            <w:pPr>
              <w:spacing w:before="30" w:after="30" w:line="283" w:lineRule="auto"/>
              <w:jc w:val="center"/>
            </w:pPr>
            <w:r/>
            <w:r>
              <w:rPr>
                <w:rFonts w:ascii="맑은 고딕" w:hAnsi="맑은 고딕" w:eastAsia="맑은 고딕"/>
                <w:b/>
                <w:color w:val="000000"/>
                <w:sz w:val="18"/>
              </w:rPr>
              <w:t>수집·운반업</w:t>
            </w:r>
          </w:p>
        </w:tc>
        <w:tc>
          <w:tcPr>
            <w:tcW w:type="dxa" w:w="6660"/>
            <w:vAlign w:val="center"/>
          </w:tcPr>
          <w:p>
            <w:pPr>
              <w:spacing w:before="30" w:after="30" w:line="283" w:lineRule="auto"/>
              <w:jc w:val="left"/>
            </w:pPr>
            <w:r/>
            <w:r>
              <w:rPr>
                <w:rFonts w:ascii="맑은 고딕" w:hAnsi="맑은 고딕" w:eastAsia="맑은 고딕"/>
                <w:b w:val="0"/>
                <w:color w:val="000000"/>
                <w:sz w:val="18"/>
              </w:rPr>
              <w:t>· 수집·운반 대상 폐기물의 변경</w:t>
            </w:r>
            <w:r>
              <w:br/>
            </w:r>
            <w:r>
              <w:rPr>
                <w:rFonts w:ascii="맑은 고딕" w:hAnsi="맑은 고딕" w:eastAsia="맑은 고딕"/>
                <w:b w:val="0"/>
                <w:color w:val="000000"/>
                <w:sz w:val="18"/>
              </w:rPr>
              <w:t>· 영업구역의 변경</w:t>
            </w:r>
            <w:r>
              <w:br/>
            </w:r>
            <w:r>
              <w:rPr>
                <w:rFonts w:ascii="맑은 고딕" w:hAnsi="맑은 고딕" w:eastAsia="맑은 고딕"/>
                <w:b w:val="0"/>
                <w:color w:val="000000"/>
                <w:sz w:val="18"/>
              </w:rPr>
              <w:t>· 주차장 소재지의 변경 (지정폐기물 수집·운반업만 해당)</w:t>
            </w:r>
            <w:r>
              <w:br/>
            </w:r>
            <w:r>
              <w:rPr>
                <w:rFonts w:ascii="맑은 고딕" w:hAnsi="맑은 고딕" w:eastAsia="맑은 고딕"/>
                <w:b w:val="0"/>
                <w:color w:val="000000"/>
                <w:sz w:val="18"/>
              </w:rPr>
              <w:t>· 운반차량(임시차량 제외)의 증차</w:t>
            </w:r>
          </w:p>
        </w:tc>
      </w:tr>
      <w:tr>
        <w:tc>
          <w:tcPr>
            <w:tcW w:type="dxa" w:w="2340"/>
            <w:vAlign w:val="center"/>
            <w:shd w:val="clear" w:color="auto" w:fill="F2F2F2"/>
          </w:tcPr>
          <w:p>
            <w:pPr>
              <w:spacing w:before="30" w:after="30" w:line="283" w:lineRule="auto"/>
              <w:jc w:val="center"/>
            </w:pPr>
            <w:r/>
            <w:r>
              <w:rPr>
                <w:rFonts w:ascii="맑은 고딕" w:hAnsi="맑은 고딕" w:eastAsia="맑은 고딕"/>
                <w:b/>
                <w:color w:val="000000"/>
                <w:sz w:val="18"/>
              </w:rPr>
              <w:t>중간처분업·최종처분업·종합처분업</w:t>
            </w:r>
          </w:p>
        </w:tc>
        <w:tc>
          <w:tcPr>
            <w:tcW w:type="dxa" w:w="6660"/>
            <w:vAlign w:val="center"/>
          </w:tcPr>
          <w:p>
            <w:pPr>
              <w:spacing w:before="30" w:after="30" w:line="283" w:lineRule="auto"/>
              <w:jc w:val="left"/>
            </w:pPr>
            <w:r/>
            <w:r>
              <w:rPr>
                <w:rFonts w:ascii="맑은 고딕" w:hAnsi="맑은 고딕" w:eastAsia="맑은 고딕"/>
                <w:b w:val="0"/>
                <w:color w:val="000000"/>
                <w:sz w:val="18"/>
              </w:rPr>
              <w:t>· 처분대상 폐기물의 변경</w:t>
            </w:r>
            <w:r>
              <w:br/>
            </w:r>
            <w:r>
              <w:rPr>
                <w:rFonts w:ascii="맑은 고딕" w:hAnsi="맑은 고딕" w:eastAsia="맑은 고딕"/>
                <w:b w:val="0"/>
                <w:color w:val="000000"/>
                <w:sz w:val="18"/>
              </w:rPr>
              <w:t>· 처분시설 소재지의 변경</w:t>
            </w:r>
            <w:r>
              <w:br/>
            </w:r>
            <w:r>
              <w:rPr>
                <w:rFonts w:ascii="맑은 고딕" w:hAnsi="맑은 고딕" w:eastAsia="맑은 고딕"/>
                <w:b w:val="0"/>
                <w:color w:val="000000"/>
                <w:sz w:val="18"/>
              </w:rPr>
              <w:t>· 운반차량(임시차량 제외)의 증차</w:t>
            </w:r>
            <w:r>
              <w:br/>
            </w:r>
            <w:r>
              <w:rPr>
                <w:rFonts w:ascii="맑은 고딕" w:hAnsi="맑은 고딕" w:eastAsia="맑은 고딕"/>
                <w:b w:val="0"/>
                <w:color w:val="000000"/>
                <w:sz w:val="18"/>
              </w:rPr>
              <w:t>· 처분시설의 신설</w:t>
            </w:r>
            <w:r>
              <w:br/>
            </w:r>
            <w:r>
              <w:rPr>
                <w:rFonts w:ascii="맑은 고딕" w:hAnsi="맑은 고딕" w:eastAsia="맑은 고딕"/>
                <w:b w:val="0"/>
                <w:color w:val="000000"/>
                <w:sz w:val="18"/>
              </w:rPr>
              <w:t>· 처분용량의 30% 이상 변경 (허가·변경허가 후 누계)</w:t>
            </w:r>
            <w:r>
              <w:br/>
            </w:r>
            <w:r>
              <w:rPr>
                <w:rFonts w:ascii="맑은 고딕" w:hAnsi="맑은 고딕" w:eastAsia="맑은 고딕"/>
                <w:b w:val="0"/>
                <w:color w:val="000000"/>
                <w:sz w:val="18"/>
              </w:rPr>
              <w:t>· 주요 설비의 변경 (처분시설 구조·차수·침출수·가스처리시설·배출시설 변경 등 일정 요건만 해당)</w:t>
            </w:r>
            <w:r>
              <w:br/>
            </w:r>
            <w:r>
              <w:rPr>
                <w:rFonts w:ascii="맑은 고딕" w:hAnsi="맑은 고딕" w:eastAsia="맑은 고딕"/>
                <w:b w:val="0"/>
                <w:color w:val="000000"/>
                <w:sz w:val="18"/>
              </w:rPr>
              <w:t>· 매립시설 제방의 증·개축</w:t>
            </w:r>
            <w:r>
              <w:br/>
            </w:r>
            <w:r>
              <w:rPr>
                <w:rFonts w:ascii="맑은 고딕" w:hAnsi="맑은 고딕" w:eastAsia="맑은 고딕"/>
                <w:b w:val="0"/>
                <w:color w:val="000000"/>
                <w:sz w:val="18"/>
              </w:rPr>
              <w:t>· 허용보관량의 변경</w:t>
            </w:r>
          </w:p>
        </w:tc>
      </w:tr>
      <w:tr>
        <w:tc>
          <w:tcPr>
            <w:tcW w:type="dxa" w:w="2340"/>
            <w:vAlign w:val="center"/>
            <w:shd w:val="clear" w:color="auto" w:fill="F2F2F2"/>
          </w:tcPr>
          <w:p>
            <w:pPr>
              <w:spacing w:before="30" w:after="30" w:line="283" w:lineRule="auto"/>
              <w:jc w:val="center"/>
            </w:pPr>
            <w:r/>
            <w:r>
              <w:rPr>
                <w:rFonts w:ascii="맑은 고딕" w:hAnsi="맑은 고딕" w:eastAsia="맑은 고딕"/>
                <w:b/>
                <w:color w:val="000000"/>
                <w:sz w:val="18"/>
              </w:rPr>
              <w:t>중간재활용업·최종재활용업·종합재활용업</w:t>
            </w:r>
          </w:p>
        </w:tc>
        <w:tc>
          <w:tcPr>
            <w:tcW w:type="dxa" w:w="6660"/>
            <w:vAlign w:val="center"/>
          </w:tcPr>
          <w:p>
            <w:pPr>
              <w:spacing w:before="30" w:after="30" w:line="283" w:lineRule="auto"/>
              <w:jc w:val="left"/>
            </w:pPr>
            <w:r/>
            <w:r>
              <w:rPr>
                <w:rFonts w:ascii="맑은 고딕" w:hAnsi="맑은 고딕" w:eastAsia="맑은 고딕"/>
                <w:b w:val="0"/>
                <w:color w:val="000000"/>
                <w:sz w:val="18"/>
              </w:rPr>
              <w:t>· 재활용대상 폐기물의 변경 (변경신고 대상인 경미한 추가는 제외)</w:t>
            </w:r>
            <w:r>
              <w:br/>
            </w:r>
            <w:r>
              <w:rPr>
                <w:rFonts w:ascii="맑은 고딕" w:hAnsi="맑은 고딕" w:eastAsia="맑은 고딕"/>
                <w:b w:val="0"/>
                <w:color w:val="000000"/>
                <w:sz w:val="18"/>
              </w:rPr>
              <w:t>· 재활용 유형의 변경 (변경신고 대상은 제외)</w:t>
            </w:r>
            <w:r>
              <w:br/>
            </w:r>
            <w:r>
              <w:rPr>
                <w:rFonts w:ascii="맑은 고딕" w:hAnsi="맑은 고딕" w:eastAsia="맑은 고딕"/>
                <w:b w:val="0"/>
                <w:color w:val="000000"/>
                <w:sz w:val="18"/>
              </w:rPr>
              <w:t>· 재활용시설 소재지의 변경</w:t>
            </w:r>
            <w:r>
              <w:br/>
            </w:r>
            <w:r>
              <w:rPr>
                <w:rFonts w:ascii="맑은 고딕" w:hAnsi="맑은 고딕" w:eastAsia="맑은 고딕"/>
                <w:b w:val="0"/>
                <w:color w:val="000000"/>
                <w:sz w:val="18"/>
              </w:rPr>
              <w:t>· 운반차량(임시차량 제외)의 증차</w:t>
            </w:r>
            <w:r>
              <w:br/>
            </w:r>
            <w:r>
              <w:rPr>
                <w:rFonts w:ascii="맑은 고딕" w:hAnsi="맑은 고딕" w:eastAsia="맑은 고딕"/>
                <w:b w:val="0"/>
                <w:color w:val="000000"/>
                <w:sz w:val="18"/>
              </w:rPr>
              <w:t>· 재활용시설의 신설</w:t>
            </w:r>
            <w:r>
              <w:br/>
            </w:r>
            <w:r>
              <w:rPr>
                <w:rFonts w:ascii="맑은 고딕" w:hAnsi="맑은 고딕" w:eastAsia="맑은 고딕"/>
                <w:b w:val="0"/>
                <w:color w:val="000000"/>
                <w:sz w:val="18"/>
              </w:rPr>
              <w:t>· 재활용 용량의 30% 이상 변경 (금속 회수 최종·종합재활용업은 50% 이상, 누계)</w:t>
            </w:r>
            <w:r>
              <w:br/>
            </w:r>
            <w:r>
              <w:rPr>
                <w:rFonts w:ascii="맑은 고딕" w:hAnsi="맑은 고딕" w:eastAsia="맑은 고딕"/>
                <w:b w:val="0"/>
                <w:color w:val="000000"/>
                <w:sz w:val="18"/>
              </w:rPr>
              <w:t>· 주요 설비의 변경 (일정 요건만 해당)</w:t>
            </w:r>
            <w:r>
              <w:br/>
            </w:r>
            <w:r>
              <w:rPr>
                <w:rFonts w:ascii="맑은 고딕" w:hAnsi="맑은 고딕" w:eastAsia="맑은 고딕"/>
                <w:b w:val="0"/>
                <w:color w:val="000000"/>
                <w:sz w:val="18"/>
              </w:rPr>
              <w:t>· 허용보관량의 변경</w:t>
            </w:r>
          </w:p>
        </w:tc>
      </w:tr>
    </w:tbl>
    <w:p>
      <w:pPr>
        <w:spacing w:after="100"/>
      </w:pPr>
    </w:p>
    <w:p>
      <w:pPr>
        <w:pStyle w:val="2"/>
      </w:pPr>
      <w:r>
        <w:rPr>
          <w:rFonts w:ascii="맑은 고딕" w:hAnsi="맑은 고딕" w:eastAsia="맑은 고딕"/>
          <w:color w:val="000000"/>
        </w:rPr>
        <w:t>2. 변경허가 신청 방법</w:t>
      </w:r>
    </w:p>
    <w:p>
      <w:pPr>
        <w:spacing w:after="80"/>
      </w:pPr>
      <w:r>
        <w:rPr>
          <w:rFonts w:ascii="맑은 고딕" w:hAnsi="맑은 고딕" w:eastAsia="맑은 고딕"/>
          <w:color w:val="000000"/>
          <w:sz w:val="18"/>
        </w:rPr>
        <w:t>근거: 폐기물관리법 시행규칙 제29조 제2항</w:t>
      </w:r>
    </w:p>
    <w:tbl>
      <w:tblPr>
        <w:tblW w:w="5000" w:type="pct"/>
        <w:tblCellMar>
          <w:top w:w="50" w:type="dxa"/>
          <w:left w:w="100" w:type="dxa"/>
          <w:bottom w:w="50" w:type="dxa"/>
          <w:right w:w="100" w:type="dxa"/>
        </w:tblCellMar>
        <w:tblBorders>
          <w:top w:val="single" w:sz="14" w:space="0" w:color="000000"/>
          <w:left w:val="single" w:sz="14" w:space="0" w:color="000000"/>
          <w:bottom w:val="single" w:sz="14" w:space="0" w:color="000000"/>
          <w:right w:val="single" w:sz="14" w:space="0" w:color="000000"/>
          <w:insideH w:val="single" w:sz="4" w:space="0" w:color="B7B7B7"/>
          <w:insideV w:val="single" w:sz="4" w:space="0" w:color="B7B7B7"/>
        </w:tblBorders>
        <w:tblLook w:val="04A0" w:firstRow="1" w:lastRow="0" w:firstColumn="0" w:lastColumn="0" w:noHBand="0" w:noVBand="1"/>
      </w:tblPr>
      <w:tblGrid>
        <w:gridCol w:w="1800"/>
        <w:gridCol w:w="7200"/>
      </w:tblGrid>
      <w:tr>
        <w:trPr>
          <w:tblHeader w:val="true"/>
        </w:trPr>
        <w:tc>
          <w:tcPr>
            <w:tcW w:type="dxa" w:w="1800"/>
            <w:vAlign w:val="center"/>
            <w:shd w:val="clear" w:color="auto" w:fill="D9D9D9"/>
            <w:tcBorders>
              <w:bottom w:val="double" w:sz="6" w:space="0" w:color="000000"/>
            </w:tcBorders>
          </w:tcPr>
          <w:p>
            <w:pPr>
              <w:spacing w:before="30" w:after="30" w:line="283" w:lineRule="auto"/>
              <w:jc w:val="center"/>
            </w:pPr>
            <w:r/>
            <w:r>
              <w:rPr>
                <w:rFonts w:ascii="맑은 고딕" w:hAnsi="맑은 고딕" w:eastAsia="맑은 고딕"/>
                <w:b/>
                <w:color w:val="000000"/>
                <w:sz w:val="18"/>
              </w:rPr>
              <w:t>구분</w:t>
            </w:r>
          </w:p>
        </w:tc>
        <w:tc>
          <w:tcPr>
            <w:tcW w:type="dxa" w:w="7200"/>
            <w:vAlign w:val="center"/>
            <w:shd w:val="clear" w:color="auto" w:fill="D9D9D9"/>
            <w:tcBorders>
              <w:bottom w:val="double" w:sz="6" w:space="0" w:color="000000"/>
            </w:tcBorders>
          </w:tcPr>
          <w:p>
            <w:pPr>
              <w:spacing w:before="30" w:after="30" w:line="283" w:lineRule="auto"/>
              <w:jc w:val="center"/>
            </w:pPr>
            <w:r/>
            <w:r>
              <w:rPr>
                <w:rFonts w:ascii="맑은 고딕" w:hAnsi="맑은 고딕" w:eastAsia="맑은 고딕"/>
                <w:b/>
                <w:color w:val="000000"/>
                <w:sz w:val="18"/>
              </w:rPr>
              <w:t>내용</w:t>
            </w:r>
          </w:p>
        </w:tc>
      </w:tr>
      <w:tr>
        <w:tc>
          <w:tcPr>
            <w:tcW w:type="dxa" w:w="1800"/>
            <w:vAlign w:val="center"/>
            <w:shd w:val="clear" w:color="auto" w:fill="F2F2F2"/>
          </w:tcPr>
          <w:p>
            <w:pPr>
              <w:spacing w:before="30" w:after="30" w:line="283" w:lineRule="auto"/>
              <w:jc w:val="center"/>
            </w:pPr>
            <w:r/>
            <w:r>
              <w:rPr>
                <w:rFonts w:ascii="맑은 고딕" w:hAnsi="맑은 고딕" w:eastAsia="맑은 고딕"/>
                <w:b/>
                <w:color w:val="000000"/>
                <w:sz w:val="18"/>
              </w:rPr>
              <w:t>신청 시기</w:t>
            </w:r>
          </w:p>
        </w:tc>
        <w:tc>
          <w:tcPr>
            <w:tcW w:type="dxa" w:w="7200"/>
            <w:vAlign w:val="center"/>
          </w:tcPr>
          <w:p>
            <w:pPr>
              <w:spacing w:before="30" w:after="30" w:line="283" w:lineRule="auto"/>
              <w:jc w:val="left"/>
            </w:pPr>
            <w:r/>
            <w:r>
              <w:rPr>
                <w:rFonts w:ascii="맑은 고딕" w:hAnsi="맑은 고딕" w:eastAsia="맑은 고딕"/>
                <w:b w:val="0"/>
                <w:color w:val="000000"/>
                <w:sz w:val="18"/>
              </w:rPr>
              <w:t>변경하기 전에 미리 신청</w:t>
            </w:r>
          </w:p>
        </w:tc>
      </w:tr>
      <w:tr>
        <w:tc>
          <w:tcPr>
            <w:tcW w:type="dxa" w:w="1800"/>
            <w:vAlign w:val="center"/>
            <w:shd w:val="clear" w:color="auto" w:fill="F2F2F2"/>
          </w:tcPr>
          <w:p>
            <w:pPr>
              <w:spacing w:before="30" w:after="30" w:line="283" w:lineRule="auto"/>
              <w:jc w:val="center"/>
            </w:pPr>
            <w:r/>
            <w:r>
              <w:rPr>
                <w:rFonts w:ascii="맑은 고딕" w:hAnsi="맑은 고딕" w:eastAsia="맑은 고딕"/>
                <w:b/>
                <w:color w:val="000000"/>
                <w:sz w:val="18"/>
              </w:rPr>
              <w:t>신청서</w:t>
            </w:r>
          </w:p>
        </w:tc>
        <w:tc>
          <w:tcPr>
            <w:tcW w:type="dxa" w:w="7200"/>
            <w:vAlign w:val="center"/>
          </w:tcPr>
          <w:p>
            <w:pPr>
              <w:spacing w:before="30" w:after="30" w:line="283" w:lineRule="auto"/>
              <w:jc w:val="left"/>
            </w:pPr>
            <w:r/>
            <w:r>
              <w:rPr>
                <w:rFonts w:ascii="맑은 고딕" w:hAnsi="맑은 고딕" w:eastAsia="맑은 고딕"/>
                <w:b w:val="0"/>
                <w:color w:val="000000"/>
                <w:sz w:val="18"/>
              </w:rPr>
              <w:t>별지 제18호서식 폐기물처리업 변경허가신청서</w:t>
            </w:r>
          </w:p>
        </w:tc>
      </w:tr>
      <w:tr>
        <w:tc>
          <w:tcPr>
            <w:tcW w:type="dxa" w:w="1800"/>
            <w:vAlign w:val="center"/>
            <w:shd w:val="clear" w:color="auto" w:fill="F2F2F2"/>
          </w:tcPr>
          <w:p>
            <w:pPr>
              <w:spacing w:before="30" w:after="30" w:line="283" w:lineRule="auto"/>
              <w:jc w:val="center"/>
            </w:pPr>
            <w:r/>
            <w:r>
              <w:rPr>
                <w:rFonts w:ascii="맑은 고딕" w:hAnsi="맑은 고딕" w:eastAsia="맑은 고딕"/>
                <w:b/>
                <w:color w:val="000000"/>
                <w:sz w:val="18"/>
              </w:rPr>
              <w:t>첨부서류</w:t>
            </w:r>
          </w:p>
        </w:tc>
        <w:tc>
          <w:tcPr>
            <w:tcW w:type="dxa" w:w="7200"/>
            <w:vAlign w:val="center"/>
          </w:tcPr>
          <w:p>
            <w:pPr>
              <w:spacing w:before="30" w:after="30" w:line="283" w:lineRule="auto"/>
              <w:jc w:val="left"/>
            </w:pPr>
            <w:r/>
            <w:r>
              <w:rPr>
                <w:rFonts w:ascii="맑은 고딕" w:hAnsi="맑은 고딕" w:eastAsia="맑은 고딕"/>
                <w:b w:val="0"/>
                <w:color w:val="000000"/>
                <w:sz w:val="18"/>
              </w:rPr>
              <w:t>· 허가증 원본</w:t>
            </w:r>
            <w:r>
              <w:br/>
            </w:r>
            <w:r>
              <w:rPr>
                <w:rFonts w:ascii="맑은 고딕" w:hAnsi="맑은 고딕" w:eastAsia="맑은 고딕"/>
                <w:b w:val="0"/>
                <w:color w:val="000000"/>
                <w:sz w:val="18"/>
              </w:rPr>
              <w:t>· 변경내용을 확인할 수 있는 서류</w:t>
            </w:r>
            <w:r>
              <w:br/>
            </w:r>
            <w:r>
              <w:rPr>
                <w:rFonts w:ascii="맑은 고딕" w:hAnsi="맑은 고딕" w:eastAsia="맑은 고딕"/>
                <w:b w:val="0"/>
                <w:color w:val="000000"/>
                <w:sz w:val="18"/>
              </w:rPr>
              <w:t>· (배출시설에 해당하는 처리시설을 신설·변경하는 경우) 배출시설 설치허가·신고 또는 변경허가·변경신고 시의 첨부서류</w:t>
            </w:r>
            <w:r>
              <w:br/>
            </w:r>
            <w:r>
              <w:rPr>
                <w:rFonts w:ascii="맑은 고딕" w:hAnsi="맑은 고딕" w:eastAsia="맑은 고딕"/>
                <w:b w:val="0"/>
                <w:color w:val="000000"/>
                <w:sz w:val="18"/>
              </w:rPr>
              <w:t>· (소각·매립시설 등 소재지 변경 시) 환경성조사서 등</w:t>
            </w:r>
          </w:p>
        </w:tc>
      </w:tr>
      <w:tr>
        <w:tc>
          <w:tcPr>
            <w:tcW w:type="dxa" w:w="1800"/>
            <w:vAlign w:val="center"/>
            <w:shd w:val="clear" w:color="auto" w:fill="F2F2F2"/>
          </w:tcPr>
          <w:p>
            <w:pPr>
              <w:spacing w:before="30" w:after="30" w:line="283" w:lineRule="auto"/>
              <w:jc w:val="center"/>
            </w:pPr>
            <w:r/>
            <w:r>
              <w:rPr>
                <w:rFonts w:ascii="맑은 고딕" w:hAnsi="맑은 고딕" w:eastAsia="맑은 고딕"/>
                <w:b/>
                <w:color w:val="000000"/>
                <w:sz w:val="18"/>
              </w:rPr>
              <w:t>제출처</w:t>
            </w:r>
          </w:p>
        </w:tc>
        <w:tc>
          <w:tcPr>
            <w:tcW w:type="dxa" w:w="7200"/>
            <w:vAlign w:val="center"/>
          </w:tcPr>
          <w:p>
            <w:pPr>
              <w:spacing w:before="30" w:after="30" w:line="283" w:lineRule="auto"/>
              <w:jc w:val="left"/>
            </w:pPr>
            <w:r/>
            <w:r>
              <w:rPr>
                <w:rFonts w:ascii="맑은 고딕" w:hAnsi="맑은 고딕" w:eastAsia="맑은 고딕"/>
                <w:b w:val="0"/>
                <w:color w:val="000000"/>
                <w:sz w:val="18"/>
              </w:rPr>
              <w:t>시·도지사 또는 지방환경관서의 장</w:t>
            </w:r>
          </w:p>
        </w:tc>
      </w:tr>
    </w:tbl>
    <w:p>
      <w:pPr>
        <w:spacing w:after="100"/>
      </w:pPr>
    </w:p>
    <w:p>
      <w:pPr>
        <w:pStyle w:val="2"/>
      </w:pPr>
      <w:r>
        <w:rPr>
          <w:rFonts w:ascii="맑은 고딕" w:hAnsi="맑은 고딕" w:eastAsia="맑은 고딕"/>
          <w:color w:val="000000"/>
        </w:rPr>
        <w:t>3. 위반 시 벌칙</w:t>
      </w:r>
    </w:p>
    <w:tbl>
      <w:tblPr>
        <w:tblW w:w="5000" w:type="pct"/>
        <w:tblCellMar>
          <w:top w:w="50" w:type="dxa"/>
          <w:left w:w="100" w:type="dxa"/>
          <w:bottom w:w="50" w:type="dxa"/>
          <w:right w:w="100" w:type="dxa"/>
        </w:tblCellMar>
        <w:tblBorders>
          <w:top w:val="single" w:sz="14" w:space="0" w:color="000000"/>
          <w:left w:val="single" w:sz="14" w:space="0" w:color="000000"/>
          <w:bottom w:val="single" w:sz="14" w:space="0" w:color="000000"/>
          <w:right w:val="single" w:sz="14" w:space="0" w:color="000000"/>
          <w:insideH w:val="single" w:sz="4" w:space="0" w:color="B7B7B7"/>
          <w:insideV w:val="single" w:sz="4" w:space="0" w:color="B7B7B7"/>
        </w:tblBorders>
        <w:tblLook w:val="04A0" w:firstRow="1" w:lastRow="0" w:firstColumn="0" w:lastColumn="0" w:noHBand="0" w:noVBand="1"/>
      </w:tblPr>
      <w:tblGrid>
        <w:gridCol w:w="4140"/>
        <w:gridCol w:w="4860"/>
      </w:tblGrid>
      <w:tr>
        <w:trPr>
          <w:tblHeader w:val="true"/>
        </w:trPr>
        <w:tc>
          <w:tcPr>
            <w:tcW w:type="dxa" w:w="4140"/>
            <w:vAlign w:val="center"/>
            <w:shd w:val="clear" w:color="auto" w:fill="D9D9D9"/>
            <w:tcBorders>
              <w:bottom w:val="double" w:sz="6" w:space="0" w:color="000000"/>
            </w:tcBorders>
          </w:tcPr>
          <w:p>
            <w:pPr>
              <w:spacing w:before="30" w:after="30" w:line="283" w:lineRule="auto"/>
              <w:jc w:val="center"/>
            </w:pPr>
            <w:r/>
            <w:r>
              <w:rPr>
                <w:rFonts w:ascii="맑은 고딕" w:hAnsi="맑은 고딕" w:eastAsia="맑은 고딕"/>
                <w:b/>
                <w:color w:val="000000"/>
                <w:sz w:val="18"/>
              </w:rPr>
              <w:t>위반 행위</w:t>
            </w:r>
          </w:p>
        </w:tc>
        <w:tc>
          <w:tcPr>
            <w:tcW w:type="dxa" w:w="4860"/>
            <w:vAlign w:val="center"/>
            <w:shd w:val="clear" w:color="auto" w:fill="D9D9D9"/>
            <w:tcBorders>
              <w:bottom w:val="double" w:sz="6" w:space="0" w:color="000000"/>
            </w:tcBorders>
          </w:tcPr>
          <w:p>
            <w:pPr>
              <w:spacing w:before="30" w:after="30" w:line="283" w:lineRule="auto"/>
              <w:jc w:val="center"/>
            </w:pPr>
            <w:r/>
            <w:r>
              <w:rPr>
                <w:rFonts w:ascii="맑은 고딕" w:hAnsi="맑은 고딕" w:eastAsia="맑은 고딕"/>
                <w:b/>
                <w:color w:val="000000"/>
                <w:sz w:val="18"/>
              </w:rPr>
              <w:t>제재</w:t>
            </w:r>
          </w:p>
        </w:tc>
      </w:tr>
      <w:tr>
        <w:tc>
          <w:tcPr>
            <w:tcW w:type="dxa" w:w="4140"/>
            <w:vAlign w:val="center"/>
            <w:shd w:val="clear" w:color="auto" w:fill="F2F2F2"/>
          </w:tcPr>
          <w:p>
            <w:pPr>
              <w:spacing w:before="30" w:after="30" w:line="283" w:lineRule="auto"/>
              <w:jc w:val="center"/>
            </w:pPr>
            <w:r/>
            <w:r>
              <w:rPr>
                <w:rFonts w:ascii="맑은 고딕" w:hAnsi="맑은 고딕" w:eastAsia="맑은 고딕"/>
                <w:b/>
                <w:color w:val="000000"/>
                <w:sz w:val="18"/>
              </w:rPr>
              <w:t>변경허가를 받지 않고 중요사항을 변경</w:t>
            </w:r>
          </w:p>
        </w:tc>
        <w:tc>
          <w:tcPr>
            <w:tcW w:type="dxa" w:w="4860"/>
            <w:vAlign w:val="center"/>
          </w:tcPr>
          <w:p>
            <w:pPr>
              <w:spacing w:before="30" w:after="30" w:line="283" w:lineRule="auto"/>
              <w:jc w:val="left"/>
            </w:pPr>
            <w:r/>
            <w:r>
              <w:rPr>
                <w:rFonts w:ascii="맑은 고딕" w:hAnsi="맑은 고딕" w:eastAsia="맑은 고딕"/>
                <w:b w:val="0"/>
                <w:color w:val="000000"/>
                <w:sz w:val="18"/>
              </w:rPr>
              <w:t>3년 이하의 징역 또는 3천만원 이하의 벌금 (폐기물관리법 제65조 제14호)</w:t>
            </w:r>
          </w:p>
        </w:tc>
      </w:tr>
    </w:tbl>
    <w:p>
      <w:pPr>
        <w:spacing w:after="100"/>
      </w:pPr>
    </w:p>
    <w:p>
      <w:pPr>
        <w:pStyle w:val="note"/>
      </w:pPr>
      <w:r>
        <w:rPr>
          <w:rFonts w:ascii="맑은 고딕" w:hAnsi="맑은 고딕" w:eastAsia="맑은 고딕"/>
          <w:color w:val="000000"/>
        </w:rPr>
        <w:t>※ 참고: 변경신고 대상 사항을 신고하지 않고 변경한 경우에는 과태료가 부과됩니다(법 제68조 제2항 제5호). 변경신고 대상은 시행규칙 제33조 참고.</w:t>
      </w:r>
    </w:p>
    <w:p>
      <w:pPr>
        <w:pStyle w:val="2"/>
      </w:pPr>
      <w:r>
        <w:rPr>
          <w:rFonts w:ascii="맑은 고딕" w:hAnsi="맑은 고딕" w:eastAsia="맑은 고딕"/>
          <w:color w:val="000000"/>
        </w:rPr>
        <w:t>4. 원문</w:t>
      </w:r>
    </w:p>
    <w:p>
      <w:pPr>
        <w:pStyle w:val="cite1"/>
        <w:spacing w:after="40" w:before="200"/>
      </w:pPr>
      <w:r>
        <w:rPr>
          <w:rFonts w:ascii="맑은 고딕" w:hAnsi="맑은 고딕" w:eastAsia="맑은 고딕"/>
          <w:color w:val="000000"/>
        </w:rPr>
        <w:t>폐기물관리법 제25조 제11항</w:t>
      </w:r>
    </w:p>
    <w:p>
      <w:pPr>
        <w:spacing w:after="120" w:line="336" w:lineRule="auto"/>
      </w:pPr>
      <w:r>
        <w:rPr>
          <w:rFonts w:ascii="맑은 고딕" w:hAnsi="맑은 고딕" w:eastAsia="맑은 고딕"/>
          <w:color w:val="000000"/>
          <w:sz w:val="18"/>
        </w:rPr>
        <w:t>제3항에 따라 허가를 받은 자가 기후에너지환경부령으로 정하는 중요사항을 변경하려면 변경허가를 받아야 하고, 그 밖의 사항 중 기후에너지환경부령으로 정하는 사항을 변경하려면 변경신고를 하여야 한다.</w:t>
      </w:r>
    </w:p>
    <w:p>
      <w:pPr>
        <w:pStyle w:val="cite1"/>
        <w:spacing w:after="40" w:before="200"/>
      </w:pPr>
      <w:r>
        <w:rPr>
          <w:rFonts w:ascii="맑은 고딕" w:hAnsi="맑은 고딕" w:eastAsia="맑은 고딕"/>
          <w:color w:val="000000"/>
        </w:rPr>
        <w:t>폐기물관리법 시행규칙 제29조 제1항 (변경허가 대상 중요사항)</w:t>
      </w:r>
    </w:p>
    <w:p>
      <w:pPr>
        <w:spacing w:after="120" w:line="336" w:lineRule="auto"/>
      </w:pPr>
      <w:r>
        <w:rPr>
          <w:rFonts w:ascii="맑은 고딕" w:hAnsi="맑은 고딕" w:eastAsia="맑은 고딕"/>
          <w:color w:val="000000"/>
          <w:sz w:val="18"/>
        </w:rPr>
        <w:t>1. 폐기물 수집·운반업  가. 수집·운반대상 폐기물의 변경  나. 영업구역의 변경  다. 주차장 소재지의 변경(지정폐기물 수집·운반업만 해당)  라. 운반차량(임시차량 제외)의 증차</w:t>
      </w:r>
      <w:r>
        <w:br/>
      </w:r>
      <w:r>
        <w:rPr>
          <w:rFonts w:ascii="맑은 고딕" w:hAnsi="맑은 고딕" w:eastAsia="맑은 고딕"/>
          <w:color w:val="000000"/>
          <w:sz w:val="18"/>
        </w:rPr>
        <w:t>2. 폐기물 중간처분업·최종처분업·종합처분업  가. 처분대상 폐기물의 변경  나. 처분시설 소재지의 변경  다. 운반차량(임시차량 제외)의 증차  라. 처분시설의 신설  마. 처분용량의 100분의 30 이상 변경(누계)  바. 주요 설비의 변경(일정 요건)  사. 매립시설 제방의 증·개축  아. 허용보관량의 변경</w:t>
      </w:r>
      <w:r>
        <w:br/>
      </w:r>
      <w:r>
        <w:rPr>
          <w:rFonts w:ascii="맑은 고딕" w:hAnsi="맑은 고딕" w:eastAsia="맑은 고딕"/>
          <w:color w:val="000000"/>
          <w:sz w:val="18"/>
        </w:rPr>
        <w:t>3. 폐기물 중간재활용업·최종재활용업·종합재활용업  가. 재활용대상 폐기물의 변경(제33조 제1항 제6호 해당은 제외)  나. 재활용 유형의 변경(제33조 제1항 제7호 해당은 제외)  다. 재활용시설 소재지의 변경  라. 운반차량(임시차량 제외)의 증차  마. 재활용시설의 신설  바. 재활용 용량의 100분의 30(금속 회수는 100분의 50) 이상 변경(누계)  사. 주요 설비의 변경(일정 요건)  아. 허용보관량의 변경</w:t>
      </w:r>
    </w:p>
    <w:p>
      <w:pPr>
        <w:pStyle w:val="cite1"/>
        <w:spacing w:after="40" w:before="200"/>
      </w:pPr>
      <w:r>
        <w:rPr>
          <w:rFonts w:ascii="맑은 고딕" w:hAnsi="맑은 고딕" w:eastAsia="맑은 고딕"/>
          <w:color w:val="000000"/>
        </w:rPr>
        <w:t>폐기물관리법 시행규칙 제29조 제2항 (신청 절차)</w:t>
      </w:r>
    </w:p>
    <w:p>
      <w:pPr>
        <w:spacing w:after="120" w:line="336" w:lineRule="auto"/>
      </w:pPr>
      <w:r>
        <w:rPr>
          <w:rFonts w:ascii="맑은 고딕" w:hAnsi="맑은 고딕" w:eastAsia="맑은 고딕"/>
          <w:color w:val="000000"/>
          <w:sz w:val="18"/>
        </w:rPr>
        <w:t>제1항에 따른 변경허가를 받으려는 자는 미리 별지 제18호서식의 변경허가신청서에 허가증 원본, 변경내용을 확인할 수 있는 서류 등을 첨부하여 시·도지사나 지방환경관서의 장에게 제출하여야 한다.</w:t>
      </w:r>
    </w:p>
    <w:p>
      <w:pPr>
        <w:pStyle w:val="src"/>
      </w:pPr>
      <w:r>
        <w:rPr>
          <w:rFonts w:ascii="맑은 고딕" w:hAnsi="맑은 고딕" w:eastAsia="맑은 고딕"/>
          <w:color w:val="000000"/>
        </w:rPr>
        <w:t>기준 법령: 폐기물관리법·같은 법 시행규칙 (국가법령정보센터, 시행규칙 2026.6.22 기준).</w:t>
      </w:r>
    </w:p>
    <w:p>
      <w:pPr>
        <w:pStyle w:val="mark"/>
      </w:pPr>
      <w:r>
        <w:rPr>
          <w:rFonts w:ascii="맑은 고딕" w:hAnsi="맑은 고딕" w:eastAsia="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