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ackground w:color="FFFFFF"/>
  <w:body>
    <w:p>
      <w:pPr>
        <w:autoSpaceDN w:val="0"/>
        <w:autoSpaceDE w:val="0"/>
        <w:spacing w:after="60"/>
      </w:pPr>
      <w:r>
        <w:rPr>
          <w:rFonts w:ascii="맑은 고딕" w:hAnsi="맑은 고딕" w:eastAsia="맑은 고딕" w:cs="맑은 고딕"/>
          <w:b/>
          <w:color w:val="000000"/>
          <w:sz w:val="30"/>
        </w:rPr>
        <w:t>유효기간이 붙은 설치허가는 기간이 지나면 효력이 사라집니다</w:t>
      </w:r>
    </w:p>
    <w:p>
      <w:pPr>
        <w:autoSpaceDN w:val="0"/>
        <w:autoSpaceDE w:val="0"/>
        <w:pStyle w:val="law1"/>
        <w:spacing w:after="160"/>
      </w:pPr>
      <w:r>
        <w:rPr>
          <w:rFonts w:ascii="맑은 고딕" w:hAnsi="맑은 고딕" w:eastAsia="맑은 고딕" w:cs="맑은 고딕"/>
          <w:color w:val="000000"/>
        </w:rPr>
        <w:t>대법원 2003두8289 (2004.12.24 선고)</w:t>
      </w:r>
    </w:p>
    <w:p>
      <w:pPr>
        <w:autoSpaceDN w:val="0"/>
        <w:autoSpaceDE w:val="0"/>
        <w:spacing w:after="120"/>
      </w:pPr>
      <w:r>
        <w:rPr>
          <w:rFonts w:ascii="맑은 고딕" w:hAnsi="맑은 고딕" w:eastAsia="맑은 고딕" w:cs="맑은 고딕"/>
          <w:color w:val="000000"/>
        </w:rPr>
        <w:t>○ 이전조건부 공장등록을 하면서 유효기간을 붙여 폐수배출시설 설치허가와 대기배출시설 설치신고 수리를 받은 사업자가, 그 기간이 지난 뒤 폐쇄명령을 받은 사건입니다. 대법원은 그 처분이 종전에 의제되던 허가·수리를 실질적으로 취소·변경한 것이고 불복하지 않아 다툴 수 없게 된 이상, 유효기간 경과로 효력이 소멸하였음을 이유로 한 폐쇄명령은 적법하다고 보았습니다.</w:t>
      </w:r>
    </w:p>
    <w:p>
      <w:pPr>
        <w:autoSpaceDN w:val="0"/>
        <w:autoSpaceDE w:val="0"/>
      </w:pPr>
    </w:p>
    <w:p>
      <w:pPr>
        <w:autoSpaceDN w:val="0"/>
        <w:autoSpaceDE w:val="0"/>
      </w:pPr>
    </w:p>
    <w:tbl>
      <w:tblPr>
        <w:tblW w:type="pct" w:w="5000"/>
        <w:tblLook w:firstColumn="1" w:firstRow="1" w:lastColumn="0" w:lastRow="0" w:noHBand="0" w:noVBand="1" w:val="04A0"/>
        <w:tblBorders>
          <w:top w:val="single" w:sz="14" w:space="0" w:color="808080"/>
          <w:left w:val="single" w:sz="14" w:space="0" w:color="808080"/>
          <w:bottom w:val="single" w:sz="14" w:space="0" w:color="808080"/>
          <w:right w:val="single" w:sz="14" w:space="0" w:color="808080"/>
          <w:insideH w:val="single" w:sz="4" w:space="0" w:color="B7B7B7"/>
          <w:insideV w:val="single" w:sz="4" w:space="0" w:color="B7B7B7"/>
        </w:tblBorders>
      </w:tblPr>
      <w:tblGrid>
        <w:gridCol w:w="9026"/>
      </w:tblGrid>
      <w:tr>
        <w:tc>
          <w:tcPr>
            <w:tcW w:type="pct" w:w="5000"/>
            <w:shd w:val="clear" w:color="auto" w:fill="D9D9D9"/>
            <w:tcBorders>
              <w:bottom w:val="double" w:sz="6" w:space="0" w:color="808080"/>
            </w:tcBorders>
          </w:tcPr>
          <w:p>
            <w:pPr>
              <w:autoSpaceDN w:val="0"/>
              <w:autoSpaceDE w:val="0"/>
            </w:pPr>
            <w:r>
              <w:rPr>
                <w:rFonts w:ascii="맑은 고딕" w:hAnsi="맑은 고딕" w:eastAsia="맑은 고딕" w:cs="맑은 고딕"/>
                <w:b/>
                <w:color w:val="000000"/>
                <w:sz w:val="21"/>
              </w:rPr>
              <w:t>※ 간단요약</w:t>
            </w:r>
          </w:p>
        </w:tc>
      </w:tr>
      <w:tr>
        <w:tc>
          <w:tcPr>
            <w:tcW w:type="pct" w:w="5000"/>
            <w:shd w:val="clear" w:color="auto" w:fill="F7F7F7"/>
          </w:tcPr>
          <w:p>
            <w:pPr>
              <w:autoSpaceDN w:val="0"/>
              <w:autoSpaceDE w:val="0"/>
            </w:pPr>
            <w:r>
              <w:rPr>
                <w:rFonts w:ascii="맑은 고딕" w:hAnsi="맑은 고딕" w:eastAsia="맑은 고딕" w:cs="맑은 고딕"/>
                <w:b/>
                <w:color w:val="000000"/>
                <w:sz w:val="19"/>
              </w:rPr>
              <w:t>Q. 옛 환경보전법으로 받은 허가는 어떻게 되나요?</w:t>
            </w:r>
          </w:p>
          <w:p>
            <w:pPr>
              <w:autoSpaceDN w:val="0"/>
              <w:autoSpaceDE w:val="0"/>
            </w:pPr>
            <w:r>
              <w:rPr>
                <w:rFonts w:ascii="맑은 고딕" w:hAnsi="맑은 고딕" w:eastAsia="맑은 고딕" w:cs="맑은 고딕"/>
                <w:color w:val="000000"/>
                <w:sz w:val="19"/>
              </w:rPr>
              <w:t>A. 부칙에 따라 대기환경보전법에 의한 설치신고가 수리된 것으로, 수질 관계는 설치허가를 받은 것으로 각 간주됩니다.</w:t>
            </w:r>
          </w:p>
          <w:p>
            <w:pPr>
              <w:autoSpaceDN w:val="0"/>
              <w:autoSpaceDE w:val="0"/>
            </w:pPr>
          </w:p>
          <w:p>
            <w:pPr>
              <w:autoSpaceDN w:val="0"/>
              <w:autoSpaceDE w:val="0"/>
            </w:pPr>
            <w:r>
              <w:rPr>
                <w:rFonts w:ascii="맑은 고딕" w:hAnsi="맑은 고딕" w:eastAsia="맑은 고딕" w:cs="맑은 고딕"/>
                <w:b/>
                <w:color w:val="000000"/>
                <w:sz w:val="19"/>
              </w:rPr>
              <w:t>Q. 나중에 유효기간을 붙여 다시 허가·수리를 해 주면 앞선 의제 처분은 어떻게 되나요?</w:t>
            </w:r>
          </w:p>
          <w:p>
            <w:pPr>
              <w:autoSpaceDN w:val="0"/>
              <w:autoSpaceDE w:val="0"/>
            </w:pPr>
            <w:r>
              <w:rPr>
                <w:rFonts w:ascii="맑은 고딕" w:hAnsi="맑은 고딕" w:eastAsia="맑은 고딕" w:cs="맑은 고딕"/>
                <w:color w:val="000000"/>
                <w:sz w:val="19"/>
              </w:rPr>
              <w:t>A. 그 새로운 처분으로 종전의 의제 처분을 실질적으로 취소 또는 변경한 것으로 보게 됩니다. 당연무효가 아니고 불복기간 내에 다투지 않았다면 더 이상 다툴 수 없습니다.</w:t>
            </w:r>
          </w:p>
          <w:p>
            <w:pPr>
              <w:autoSpaceDN w:val="0"/>
              <w:autoSpaceDE w:val="0"/>
            </w:pPr>
          </w:p>
          <w:p>
            <w:pPr>
              <w:autoSpaceDN w:val="0"/>
              <w:autoSpaceDE w:val="0"/>
            </w:pPr>
            <w:r>
              <w:rPr>
                <w:rFonts w:ascii="맑은 고딕" w:hAnsi="맑은 고딕" w:eastAsia="맑은 고딕" w:cs="맑은 고딕"/>
                <w:b/>
                <w:color w:val="000000"/>
                <w:sz w:val="19"/>
              </w:rPr>
              <w:t>Q. 유효기간이 지나면 어떻게 되나요?</w:t>
            </w:r>
          </w:p>
          <w:p>
            <w:pPr>
              <w:autoSpaceDN w:val="0"/>
              <w:autoSpaceDE w:val="0"/>
            </w:pPr>
            <w:r>
              <w:rPr>
                <w:rFonts w:ascii="맑은 고딕" w:hAnsi="맑은 고딕" w:eastAsia="맑은 고딕" w:cs="맑은 고딕"/>
                <w:color w:val="000000"/>
                <w:sz w:val="19"/>
              </w:rPr>
              <w:t>A. 부가된 조건에 따라 설치허가와 설치신고 수리처분의 효력이 소멸하므로, 이를 근거로 한 배출시설 폐쇄명령은 적법합니다.</w:t>
            </w:r>
          </w:p>
        </w:tc>
      </w:tr>
    </w:tbl>
    <w:p>
      <w:pPr>
        <w:autoSpaceDN w:val="0"/>
        <w:autoSpaceDE w:val="0"/>
      </w:pPr>
    </w:p>
    <w:p>
      <w:pPr>
        <w:autoSpaceDN w:val="0"/>
        <w:autoSpaceDE w:val="0"/>
      </w:pPr>
    </w:p>
    <w:p>
      <w:pPr>
        <w:autoSpaceDN w:val="0"/>
        <w:autoSpaceDE w:val="0"/>
        <w:pStyle w:val="2"/>
      </w:pPr>
      <w:r>
        <w:rPr>
          <w:rFonts w:ascii="맑은 고딕" w:hAnsi="맑은 고딕" w:eastAsia="맑은 고딕" w:cs="맑은 고딕"/>
          <w:color w:val="000000"/>
        </w:rPr>
        <w:t>1. 사건 개요</w:t>
      </w:r>
    </w:p>
    <w:tbl>
      <w:tblPr>
        <w:tblW w:type="pct" w:w="5000"/>
        <w:tblLook w:firstColumn="1" w:firstRow="1" w:lastColumn="0" w:lastRow="0" w:noHBand="0" w:noVBand="1" w:val="04A0"/>
        <w:tblBorders>
          <w:top w:val="single" w:sz="14" w:space="0" w:color="808080"/>
          <w:left w:val="single" w:sz="14" w:space="0" w:color="808080"/>
          <w:bottom w:val="single" w:sz="14" w:space="0" w:color="808080"/>
          <w:right w:val="single" w:sz="14" w:space="0" w:color="808080"/>
          <w:insideH w:val="single" w:sz="4" w:space="0" w:color="B7B7B7"/>
          <w:insideV w:val="single" w:sz="4" w:space="0" w:color="B7B7B7"/>
        </w:tblBorders>
      </w:tblPr>
      <w:tblGrid>
        <w:gridCol w:w="4513"/>
        <w:gridCol w:w="4513"/>
      </w:tblGrid>
      <w:tr>
        <w:tc>
          <w:tcPr>
            <w:tcW w:type="pct" w:w="1200"/>
            <w:shd w:val="clear" w:color="auto" w:fill="F2F2F2"/>
          </w:tcPr>
          <w:p>
            <w:pPr>
              <w:autoSpaceDN w:val="0"/>
              <w:autoSpaceDE w:val="0"/>
            </w:pPr>
            <w:r>
              <w:rPr>
                <w:rFonts w:ascii="맑은 고딕" w:hAnsi="맑은 고딕" w:eastAsia="맑은 고딕" w:cs="맑은 고딕"/>
                <w:b/>
                <w:color w:val="000000"/>
                <w:sz w:val="19"/>
              </w:rPr>
              <w:t>사건번호</w:t>
            </w:r>
          </w:p>
        </w:tc>
        <w:tc>
          <w:tcPr>
            <w:tcW w:type="pct" w:w="3800"/>
          </w:tcPr>
          <w:p>
            <w:pPr>
              <w:autoSpaceDN w:val="0"/>
              <w:autoSpaceDE w:val="0"/>
            </w:pPr>
            <w:r>
              <w:rPr>
                <w:rFonts w:ascii="맑은 고딕" w:hAnsi="맑은 고딕" w:eastAsia="맑은 고딕" w:cs="맑은 고딕"/>
                <w:color w:val="000000"/>
                <w:sz w:val="19"/>
              </w:rPr>
              <w:t>2003두8289</w:t>
            </w:r>
          </w:p>
        </w:tc>
      </w:tr>
      <w:tr>
        <w:tc>
          <w:tcPr>
            <w:tcW w:type="pct" w:w="1200"/>
            <w:shd w:val="clear" w:color="auto" w:fill="F2F2F2"/>
          </w:tcPr>
          <w:p>
            <w:pPr>
              <w:autoSpaceDN w:val="0"/>
              <w:autoSpaceDE w:val="0"/>
            </w:pPr>
            <w:r>
              <w:rPr>
                <w:rFonts w:ascii="맑은 고딕" w:hAnsi="맑은 고딕" w:eastAsia="맑은 고딕" w:cs="맑은 고딕"/>
                <w:b/>
                <w:color w:val="000000"/>
                <w:sz w:val="19"/>
              </w:rPr>
              <w:t>선고일자</w:t>
            </w:r>
          </w:p>
        </w:tc>
        <w:tc>
          <w:tcPr>
            <w:tcW w:type="pct" w:w="3800"/>
          </w:tcPr>
          <w:p>
            <w:pPr>
              <w:autoSpaceDN w:val="0"/>
              <w:autoSpaceDE w:val="0"/>
            </w:pPr>
            <w:r>
              <w:rPr>
                <w:rFonts w:ascii="맑은 고딕" w:hAnsi="맑은 고딕" w:eastAsia="맑은 고딕" w:cs="맑은 고딕"/>
                <w:color w:val="000000"/>
                <w:sz w:val="19"/>
              </w:rPr>
              <w:t>2004.12.24</w:t>
            </w:r>
          </w:p>
        </w:tc>
      </w:tr>
      <w:tr>
        <w:tc>
          <w:tcPr>
            <w:tcW w:type="pct" w:w="1200"/>
            <w:shd w:val="clear" w:color="auto" w:fill="F2F2F2"/>
          </w:tcPr>
          <w:p>
            <w:pPr>
              <w:autoSpaceDN w:val="0"/>
              <w:autoSpaceDE w:val="0"/>
            </w:pPr>
            <w:r>
              <w:rPr>
                <w:rFonts w:ascii="맑은 고딕" w:hAnsi="맑은 고딕" w:eastAsia="맑은 고딕" w:cs="맑은 고딕"/>
                <w:b/>
                <w:color w:val="000000"/>
                <w:sz w:val="19"/>
              </w:rPr>
              <w:t>법원</w:t>
            </w:r>
          </w:p>
        </w:tc>
        <w:tc>
          <w:tcPr>
            <w:tcW w:type="pct" w:w="3800"/>
          </w:tcPr>
          <w:p>
            <w:pPr>
              <w:autoSpaceDN w:val="0"/>
              <w:autoSpaceDE w:val="0"/>
            </w:pPr>
            <w:r>
              <w:rPr>
                <w:rFonts w:ascii="맑은 고딕" w:hAnsi="맑은 고딕" w:eastAsia="맑은 고딕" w:cs="맑은 고딕"/>
                <w:color w:val="000000"/>
                <w:sz w:val="19"/>
              </w:rPr>
              <w:t>대법원</w:t>
            </w:r>
          </w:p>
        </w:tc>
      </w:tr>
      <w:tr>
        <w:tc>
          <w:tcPr>
            <w:tcW w:type="pct" w:w="1200"/>
            <w:shd w:val="clear" w:color="auto" w:fill="F2F2F2"/>
          </w:tcPr>
          <w:p>
            <w:pPr>
              <w:autoSpaceDN w:val="0"/>
              <w:autoSpaceDE w:val="0"/>
            </w:pPr>
            <w:r>
              <w:rPr>
                <w:rFonts w:ascii="맑은 고딕" w:hAnsi="맑은 고딕" w:eastAsia="맑은 고딕" w:cs="맑은 고딕"/>
                <w:b/>
                <w:color w:val="000000"/>
                <w:sz w:val="19"/>
              </w:rPr>
              <w:t>당사자</w:t>
            </w:r>
          </w:p>
        </w:tc>
        <w:tc>
          <w:tcPr>
            <w:tcW w:type="pct" w:w="3800"/>
          </w:tcPr>
          <w:p>
            <w:pPr>
              <w:autoSpaceDN w:val="0"/>
              <w:autoSpaceDE w:val="0"/>
            </w:pPr>
            <w:r>
              <w:rPr>
                <w:rFonts w:ascii="맑은 고딕" w:hAnsi="맑은 고딕" w:eastAsia="맑은 고딕" w:cs="맑은 고딕"/>
                <w:color w:val="000000"/>
                <w:sz w:val="19"/>
              </w:rPr>
              <w:t>원고 주식회사 ○○○ · 피고 포천시장</w:t>
            </w:r>
          </w:p>
        </w:tc>
      </w:tr>
      <w:tr>
        <w:tc>
          <w:tcPr>
            <w:tcW w:type="pct" w:w="1200"/>
            <w:shd w:val="clear" w:color="auto" w:fill="F2F2F2"/>
          </w:tcPr>
          <w:p>
            <w:pPr>
              <w:autoSpaceDN w:val="0"/>
              <w:autoSpaceDE w:val="0"/>
            </w:pPr>
            <w:r>
              <w:rPr>
                <w:rFonts w:ascii="맑은 고딕" w:hAnsi="맑은 고딕" w:eastAsia="맑은 고딕" w:cs="맑은 고딕"/>
                <w:b/>
                <w:color w:val="000000"/>
                <w:sz w:val="19"/>
              </w:rPr>
              <w:t>사건종류</w:t>
            </w:r>
          </w:p>
        </w:tc>
        <w:tc>
          <w:tcPr>
            <w:tcW w:type="pct" w:w="3800"/>
          </w:tcPr>
          <w:p>
            <w:pPr>
              <w:autoSpaceDN w:val="0"/>
              <w:autoSpaceDE w:val="0"/>
            </w:pPr>
            <w:r>
              <w:rPr>
                <w:rFonts w:ascii="맑은 고딕" w:hAnsi="맑은 고딕" w:eastAsia="맑은 고딕" w:cs="맑은 고딕"/>
                <w:color w:val="000000"/>
                <w:sz w:val="19"/>
              </w:rPr>
              <w:t>일반행정 (폐수대기배출시설폐쇄명령취소)</w:t>
            </w:r>
          </w:p>
        </w:tc>
      </w:tr>
      <w:tr>
        <w:tc>
          <w:tcPr>
            <w:tcW w:type="pct" w:w="1200"/>
            <w:shd w:val="clear" w:color="auto" w:fill="F2F2F2"/>
          </w:tcPr>
          <w:p>
            <w:pPr>
              <w:autoSpaceDN w:val="0"/>
              <w:autoSpaceDE w:val="0"/>
            </w:pPr>
            <w:r>
              <w:rPr>
                <w:rFonts w:ascii="맑은 고딕" w:hAnsi="맑은 고딕" w:eastAsia="맑은 고딕" w:cs="맑은 고딕"/>
                <w:b/>
                <w:color w:val="000000"/>
                <w:sz w:val="19"/>
              </w:rPr>
              <w:t>원심</w:t>
            </w:r>
          </w:p>
        </w:tc>
        <w:tc>
          <w:tcPr>
            <w:tcW w:type="pct" w:w="3800"/>
          </w:tcPr>
          <w:p>
            <w:pPr>
              <w:autoSpaceDN w:val="0"/>
              <w:autoSpaceDE w:val="0"/>
            </w:pPr>
            <w:r>
              <w:rPr>
                <w:rFonts w:ascii="맑은 고딕" w:hAnsi="맑은 고딕" w:eastAsia="맑은 고딕" w:cs="맑은 고딕"/>
                <w:color w:val="000000"/>
                <w:sz w:val="19"/>
              </w:rPr>
              <w:t>서울고법 2002누15312 (2003. 6. 20.)</w:t>
            </w:r>
          </w:p>
        </w:tc>
      </w:tr>
      <w:tr>
        <w:tc>
          <w:tcPr>
            <w:tcW w:type="pct" w:w="1200"/>
            <w:shd w:val="clear" w:color="auto" w:fill="F2F2F2"/>
          </w:tcPr>
          <w:p>
            <w:pPr>
              <w:autoSpaceDN w:val="0"/>
              <w:autoSpaceDE w:val="0"/>
            </w:pPr>
            <w:r>
              <w:rPr>
                <w:rFonts w:ascii="맑은 고딕" w:hAnsi="맑은 고딕" w:eastAsia="맑은 고딕" w:cs="맑은 고딕"/>
                <w:b/>
                <w:color w:val="000000"/>
                <w:sz w:val="19"/>
              </w:rPr>
              <w:t>결과</w:t>
            </w:r>
          </w:p>
        </w:tc>
        <w:tc>
          <w:tcPr>
            <w:tcW w:type="pct" w:w="3800"/>
          </w:tcPr>
          <w:p>
            <w:pPr>
              <w:autoSpaceDN w:val="0"/>
              <w:autoSpaceDE w:val="0"/>
            </w:pPr>
            <w:r>
              <w:rPr>
                <w:rFonts w:ascii="맑은 고딕" w:hAnsi="맑은 고딕" w:eastAsia="맑은 고딕" w:cs="맑은 고딕"/>
                <w:color w:val="000000"/>
                <w:sz w:val="19"/>
              </w:rPr>
              <w:t>상고기각 (원심 확정)</w:t>
            </w:r>
          </w:p>
        </w:tc>
      </w:tr>
    </w:tbl>
    <w:p>
      <w:pPr>
        <w:autoSpaceDN w:val="0"/>
        <w:autoSpaceDE w:val="0"/>
      </w:pPr>
    </w:p>
    <w:p>
      <w:pPr>
        <w:autoSpaceDN w:val="0"/>
        <w:autoSpaceDE w:val="0"/>
      </w:pPr>
    </w:p>
    <w:p>
      <w:pPr>
        <w:autoSpaceDN w:val="0"/>
        <w:autoSpaceDE w:val="0"/>
        <w:pStyle w:val="2"/>
        <w:spacing w:before="80"/>
      </w:pPr>
      <w:r>
        <w:rPr>
          <w:rFonts w:ascii="맑은 고딕" w:hAnsi="맑은 고딕" w:eastAsia="맑은 고딕" w:cs="맑은 고딕"/>
          <w:color w:val="000000"/>
        </w:rPr>
        <w:t>2. 사실관계</w:t>
      </w:r>
    </w:p>
    <w:p>
      <w:pPr>
        <w:autoSpaceDN w:val="0"/>
        <w:autoSpaceDE w:val="0"/>
      </w:pPr>
      <w:r>
        <w:rPr>
          <w:rFonts w:ascii="맑은 고딕" w:hAnsi="맑은 고딕" w:eastAsia="맑은 고딕" w:cs="맑은 고딕"/>
          <w:color w:val="000000"/>
        </w:rPr>
        <w:t>① 원고 공장은 ‘직물 및 편조 원단 염색 가공’을 업종으로 하는 공해업종 공장으로서, 공업배치및공장설립에관한법률 부칙에 따른 추가등록 대상 공장 중 이전조건부등록공장에 해당하였다.</w:t>
      </w:r>
      <w:r>
        <w:rPr>
          <w:rFonts w:ascii="맑은 고딕" w:hAnsi="맑은 고딕" w:eastAsia="맑은 고딕" w:cs="맑은 고딕"/>
          <w:color w:val="000000"/>
        </w:rPr>
        <w:br/>
      </w:r>
      <w:r>
        <w:rPr>
          <w:rFonts w:ascii="맑은 고딕" w:hAnsi="맑은 고딕" w:eastAsia="맑은 고딕" w:cs="맑은 고딕"/>
          <w:color w:val="000000"/>
        </w:rPr>
        <w:br/>
      </w:r>
      <w:r>
        <w:rPr>
          <w:rFonts w:ascii="맑은 고딕" w:hAnsi="맑은 고딕" w:eastAsia="맑은 고딕" w:cs="맑은 고딕"/>
          <w:color w:val="000000"/>
        </w:rPr>
        <w:t>② 원고 공장은 1983. 3. 9. 구 환경보전법 제15조 제1항에 따라 피고로부터 배출시설 설치허가를 받은 바 있었으므로, 폐수배출시설에 대하여는 수질환경보전법에 의한 설치허가를, 대기배출시설에 대하여는 대기환경보전법에 의한 설치신고 수리를 각 받은 것으로 간주되었다.</w:t>
      </w:r>
      <w:r>
        <w:rPr>
          <w:rFonts w:ascii="맑은 고딕" w:hAnsi="맑은 고딕" w:eastAsia="맑은 고딕" w:cs="맑은 고딕"/>
          <w:color w:val="000000"/>
        </w:rPr>
        <w:br/>
      </w:r>
      <w:r>
        <w:rPr>
          <w:rFonts w:ascii="맑은 고딕" w:hAnsi="맑은 고딕" w:eastAsia="맑은 고딕" w:cs="맑은 고딕"/>
          <w:color w:val="000000"/>
        </w:rPr>
        <w:br/>
      </w:r>
      <w:r>
        <w:rPr>
          <w:rFonts w:ascii="맑은 고딕" w:hAnsi="맑은 고딕" w:eastAsia="맑은 고딕" w:cs="맑은 고딕"/>
          <w:color w:val="000000"/>
        </w:rPr>
        <w:t>③ 원고는 1997. 10. 24. 피고에게 ‘1999. 6. 30.까지 현 소재지의 공장을 폐쇄하고 양문산업단지로 공장을 이전하겠다’는 취지의 공장이전서약서를 제출하였고, 피고는 1997. 12. 2. 같은 취지의 조건을 붙여 이전조건부 공장등록증을 교부하였다.</w:t>
      </w:r>
      <w:r>
        <w:rPr>
          <w:rFonts w:ascii="맑은 고딕" w:hAnsi="맑은 고딕" w:eastAsia="맑은 고딕" w:cs="맑은 고딕"/>
          <w:color w:val="000000"/>
        </w:rPr>
        <w:br/>
      </w:r>
      <w:r>
        <w:rPr>
          <w:rFonts w:ascii="맑은 고딕" w:hAnsi="맑은 고딕" w:eastAsia="맑은 고딕" w:cs="맑은 고딕"/>
          <w:color w:val="000000"/>
        </w:rPr>
        <w:br/>
      </w:r>
      <w:r>
        <w:rPr>
          <w:rFonts w:ascii="맑은 고딕" w:hAnsi="맑은 고딕" w:eastAsia="맑은 고딕" w:cs="맑은 고딕"/>
          <w:color w:val="000000"/>
        </w:rPr>
        <w:t>④ 피고는 1998. 4. 14. 유효기간을 1999. 6. 30.까지로 하여 폐수배출시설 설치허가 및 대기배출시설 설치신고 수리를 하였고, 원고는 그 각 처분에 대하여 소정의 기간 내에 불복하지 않았다.</w:t>
      </w:r>
      <w:r>
        <w:rPr>
          <w:rFonts w:ascii="맑은 고딕" w:hAnsi="맑은 고딕" w:eastAsia="맑은 고딕" w:cs="맑은 고딕"/>
          <w:color w:val="000000"/>
        </w:rPr>
        <w:br/>
      </w:r>
      <w:r>
        <w:rPr>
          <w:rFonts w:ascii="맑은 고딕" w:hAnsi="맑은 고딕" w:eastAsia="맑은 고딕" w:cs="맑은 고딕"/>
          <w:color w:val="000000"/>
        </w:rPr>
        <w:br/>
      </w:r>
      <w:r>
        <w:rPr>
          <w:rFonts w:ascii="맑은 고딕" w:hAnsi="맑은 고딕" w:eastAsia="맑은 고딕" w:cs="맑은 고딕"/>
          <w:color w:val="000000"/>
        </w:rPr>
        <w:t>⑤ 피고는 위 유효기간이 지난 뒤 폐수배출시설과 대기배출시설에 대하여 폐쇄명령을 하였다.</w:t>
      </w:r>
    </w:p>
    <w:p>
      <w:pPr>
        <w:autoSpaceDN w:val="0"/>
        <w:autoSpaceDE w:val="0"/>
      </w:pPr>
    </w:p>
    <w:p>
      <w:pPr>
        <w:autoSpaceDN w:val="0"/>
        <w:autoSpaceDE w:val="0"/>
      </w:pPr>
    </w:p>
    <w:p>
      <w:pPr>
        <w:autoSpaceDN w:val="0"/>
        <w:autoSpaceDE w:val="0"/>
        <w:pStyle w:val="2"/>
        <w:spacing w:before="80"/>
      </w:pPr>
      <w:r>
        <w:rPr>
          <w:rFonts w:ascii="맑은 고딕" w:hAnsi="맑은 고딕" w:eastAsia="맑은 고딕" w:cs="맑은 고딕"/>
          <w:color w:val="000000"/>
        </w:rPr>
        <w:t>3. 쟁점</w:t>
      </w:r>
    </w:p>
    <w:p>
      <w:pPr>
        <w:autoSpaceDN w:val="0"/>
        <w:autoSpaceDE w:val="0"/>
      </w:pPr>
      <w:r>
        <w:rPr>
          <w:rFonts w:ascii="맑은 고딕" w:hAnsi="맑은 고딕" w:eastAsia="맑은 고딕" w:cs="맑은 고딕"/>
          <w:color w:val="000000"/>
          <w:u w:val="single"/>
        </w:rPr>
        <w:t>이 사건의 쟁점은, 폐수배출시설 설치허가 및 대기배출시설 설치신고 수리로 간주되는 기존의 처분을 실질적으로 취소 또는 변경하는 처분의 효력을 더 이상 다툴 수 없게 되고 그 처분에 부가된 조건에 따라 유효기간이 경과된 경우, 그 처분의 효력이 소멸되었다는 사실에 근거한 폐쇄명령이 적법한지 여부이다.</w:t>
      </w:r>
    </w:p>
    <w:p>
      <w:pPr>
        <w:autoSpaceDN w:val="0"/>
        <w:autoSpaceDE w:val="0"/>
      </w:pPr>
    </w:p>
    <w:p>
      <w:pPr>
        <w:autoSpaceDN w:val="0"/>
        <w:autoSpaceDE w:val="0"/>
      </w:pPr>
    </w:p>
    <w:p>
      <w:pPr>
        <w:autoSpaceDN w:val="0"/>
        <w:autoSpaceDE w:val="0"/>
        <w:pStyle w:val="2"/>
        <w:spacing w:before="80"/>
      </w:pPr>
      <w:r>
        <w:rPr>
          <w:rFonts w:ascii="맑은 고딕" w:hAnsi="맑은 고딕" w:eastAsia="맑은 고딕" w:cs="맑은 고딕"/>
          <w:color w:val="000000"/>
        </w:rPr>
        <w:t>4. 판단</w:t>
      </w:r>
    </w:p>
    <w:p>
      <w:pPr>
        <w:autoSpaceDN w:val="0"/>
        <w:autoSpaceDE w:val="0"/>
      </w:pPr>
      <w:r>
        <w:rPr>
          <w:rFonts w:ascii="맑은 고딕" w:hAnsi="맑은 고딕" w:eastAsia="맑은 고딕" w:cs="맑은 고딕"/>
          <w:b/>
          <w:color w:val="000000"/>
          <w:u w:val="single"/>
        </w:rPr>
        <w:t>① 원심의 판단 원심은 원고 공장이 추가등록 대상 공장 중 이전조건부등록공장에 해당한다고 인정한 다음, 이 사건 폐쇄명령이 적법하다고 판단하였다.</w:t>
      </w:r>
      <w:r>
        <w:rPr>
          <w:rFonts w:ascii="맑은 고딕" w:hAnsi="맑은 고딕" w:eastAsia="맑은 고딕" w:cs="맑은 고딕"/>
          <w:color w:val="000000"/>
        </w:rPr>
        <w:br/>
      </w:r>
      <w:r>
        <w:rPr>
          <w:rFonts w:ascii="맑은 고딕" w:hAnsi="맑은 고딕" w:eastAsia="맑은 고딕" w:cs="맑은 고딕"/>
          <w:color w:val="000000"/>
        </w:rPr>
        <w:br/>
      </w:r>
      <w:r>
        <w:rPr>
          <w:rFonts w:ascii="맑은 고딕" w:hAnsi="맑은 고딕" w:eastAsia="맑은 고딕" w:cs="맑은 고딕"/>
          <w:b/>
          <w:color w:val="000000"/>
          <w:u w:val="single"/>
        </w:rPr>
        <w:t>② 대법원의 판단 원심의 설시에 다소 미흡한 점이 있으나 결론은 정당하다.</w:t>
      </w:r>
      <w:r>
        <w:rPr>
          <w:rFonts w:ascii="맑은 고딕" w:hAnsi="맑은 고딕" w:eastAsia="맑은 고딕" w:cs="맑은 고딕"/>
          <w:color w:val="000000"/>
        </w:rPr>
        <w:br/>
      </w:r>
      <w:r>
        <w:rPr>
          <w:rFonts w:ascii="맑은 고딕" w:hAnsi="맑은 고딕" w:eastAsia="맑은 고딕" w:cs="맑은 고딕"/>
          <w:color w:val="000000"/>
        </w:rPr>
        <w:br/>
      </w:r>
      <w:r>
        <w:rPr>
          <w:rFonts w:ascii="맑은 고딕" w:hAnsi="맑은 고딕" w:eastAsia="맑은 고딕" w:cs="맑은 고딕"/>
          <w:color w:val="000000"/>
        </w:rPr>
        <w:t>③ 수질환경보전법 부칙 제4조 제1항과 대기환경보전법 부칙 제4조 제1항은 각 ‘이 법 시행 당시 종전의 환경보전법 제15조 제1항 또는 제2항의 규정에 의하여 배출시설의 설치 또는 변경에 대한 허가를 받은 자는 제10조 제1항 또는 제2항의 규정에 의한 허가를 받은 것으로 본다’고 규정하고 있다.</w:t>
      </w:r>
      <w:r>
        <w:rPr>
          <w:rFonts w:ascii="맑은 고딕" w:hAnsi="맑은 고딕" w:eastAsia="맑은 고딕" w:cs="맑은 고딕"/>
          <w:color w:val="000000"/>
        </w:rPr>
        <w:br/>
      </w:r>
      <w:r>
        <w:rPr>
          <w:rFonts w:ascii="맑은 고딕" w:hAnsi="맑은 고딕" w:eastAsia="맑은 고딕" w:cs="맑은 고딕"/>
          <w:color w:val="000000"/>
        </w:rPr>
        <w:br/>
      </w:r>
      <w:r>
        <w:rPr>
          <w:rFonts w:ascii="맑은 고딕" w:hAnsi="맑은 고딕" w:eastAsia="맑은 고딕" w:cs="맑은 고딕"/>
          <w:color w:val="000000"/>
        </w:rPr>
        <w:t>④ 원고 공장은 1983. 3. 9. 구 환경보전법에 따라 배출시설 설치허가를 받은 바 있으므로, 폐수배출시설에 대하여는 설치허가를 받은 것으로, 대기배출시설에 대하여는 설치신고가 수리된 것으로 각 간주된다.</w:t>
      </w:r>
      <w:r>
        <w:rPr>
          <w:rFonts w:ascii="맑은 고딕" w:hAnsi="맑은 고딕" w:eastAsia="맑은 고딕" w:cs="맑은 고딕"/>
          <w:color w:val="000000"/>
        </w:rPr>
        <w:br/>
      </w:r>
      <w:r>
        <w:rPr>
          <w:rFonts w:ascii="맑은 고딕" w:hAnsi="맑은 고딕" w:eastAsia="맑은 고딕" w:cs="맑은 고딕"/>
          <w:color w:val="000000"/>
        </w:rPr>
        <w:br/>
      </w:r>
      <w:r>
        <w:rPr>
          <w:rFonts w:ascii="맑은 고딕" w:hAnsi="맑은 고딕" w:eastAsia="맑은 고딕" w:cs="맑은 고딕"/>
          <w:b/>
          <w:color w:val="000000"/>
          <w:u w:val="single"/>
        </w:rPr>
        <w:t>⑤ 그런데 피고는 1998. 4. 14. 유효기간을 1999. 6. 30.까지로 하여 폐수배출시설 설치허가 및 대기배출시설 설치신고 수리를 하였는바, 이는 종전의 설치허가 및 설치신고 수리로 간주되는 처분을 실질적으로 취소 또는 변경한 것으로 봄이 상당하다.</w:t>
      </w:r>
      <w:r>
        <w:rPr>
          <w:rFonts w:ascii="맑은 고딕" w:hAnsi="맑은 고딕" w:eastAsia="맑은 고딕" w:cs="맑은 고딕"/>
          <w:color w:val="000000"/>
        </w:rPr>
        <w:br/>
      </w:r>
      <w:r>
        <w:rPr>
          <w:rFonts w:ascii="맑은 고딕" w:hAnsi="맑은 고딕" w:eastAsia="맑은 고딕" w:cs="맑은 고딕"/>
          <w:color w:val="000000"/>
        </w:rPr>
        <w:br/>
      </w:r>
      <w:r>
        <w:rPr>
          <w:rFonts w:ascii="맑은 고딕" w:hAnsi="맑은 고딕" w:eastAsia="맑은 고딕" w:cs="맑은 고딕"/>
          <w:color w:val="000000"/>
        </w:rPr>
        <w:t>⑥ 이러한 종전 처분의 취소 또는 변경이 당연무효라고 볼 수 없고, 원고가 그 각 처분에 대해 소정의 기간 내에 불복한 바도 없다.</w:t>
      </w:r>
      <w:r>
        <w:rPr>
          <w:rFonts w:ascii="맑은 고딕" w:hAnsi="맑은 고딕" w:eastAsia="맑은 고딕" w:cs="맑은 고딕"/>
          <w:color w:val="000000"/>
        </w:rPr>
        <w:br/>
      </w:r>
      <w:r>
        <w:rPr>
          <w:rFonts w:ascii="맑은 고딕" w:hAnsi="맑은 고딕" w:eastAsia="맑은 고딕" w:cs="맑은 고딕"/>
          <w:color w:val="000000"/>
        </w:rPr>
        <w:br/>
      </w:r>
      <w:r>
        <w:rPr>
          <w:rFonts w:ascii="맑은 고딕" w:hAnsi="맑은 고딕" w:eastAsia="맑은 고딕" w:cs="맑은 고딕"/>
          <w:b/>
          <w:color w:val="000000"/>
          <w:u w:val="single"/>
        </w:rPr>
        <w:t>⑦ 따라서 그 새로운 설치허가 및 설치신고 수리처분에 부가된 조건에 따라 유효기간이 경과됨으로써 그 처분의 효력도 소멸되었다고 할 것이므로, 이러한 사실에 기초를 두고 한 이 사건 폐수배출시설과 대기배출시설 폐쇄명령은 적법한 것으로 보아야 한다.</w:t>
      </w:r>
      <w:r>
        <w:rPr>
          <w:rFonts w:ascii="맑은 고딕" w:hAnsi="맑은 고딕" w:eastAsia="맑은 고딕" w:cs="맑은 고딕"/>
          <w:color w:val="000000"/>
        </w:rPr>
        <w:br/>
      </w:r>
      <w:r>
        <w:rPr>
          <w:rFonts w:ascii="맑은 고딕" w:hAnsi="맑은 고딕" w:eastAsia="맑은 고딕" w:cs="맑은 고딕"/>
          <w:color w:val="000000"/>
        </w:rPr>
        <w:br/>
      </w:r>
      <w:r>
        <w:rPr>
          <w:rFonts w:ascii="맑은 고딕" w:hAnsi="맑은 고딕" w:eastAsia="맑은 고딕" w:cs="맑은 고딕"/>
          <w:color w:val="000000"/>
        </w:rPr>
        <w:t>⑧ 이에 상고를 기각한다.</w:t>
      </w:r>
    </w:p>
    <w:p>
      <w:pPr>
        <w:autoSpaceDN w:val="0"/>
        <w:autoSpaceDE w:val="0"/>
      </w:pPr>
    </w:p>
    <w:p>
      <w:pPr>
        <w:autoSpaceDN w:val="0"/>
        <w:autoSpaceDE w:val="0"/>
      </w:pPr>
    </w:p>
    <w:p>
      <w:pPr>
        <w:autoSpaceDN w:val="0"/>
        <w:autoSpaceDE w:val="0"/>
        <w:pStyle w:val="2"/>
        <w:spacing w:before="80"/>
      </w:pPr>
      <w:r>
        <w:rPr>
          <w:rFonts w:ascii="맑은 고딕" w:hAnsi="맑은 고딕" w:eastAsia="맑은 고딕" w:cs="맑은 고딕"/>
          <w:color w:val="000000"/>
        </w:rPr>
        <w:t>5. 적용 법령</w:t>
      </w:r>
    </w:p>
    <w:tbl>
      <w:tblPr>
        <w:tblW w:type="pct" w:w="5000"/>
        <w:tblLook w:firstColumn="1" w:firstRow="1" w:lastColumn="0" w:lastRow="0" w:noHBand="0" w:noVBand="1" w:val="04A0"/>
        <w:tblBorders>
          <w:top w:val="single" w:sz="14" w:space="0" w:color="808080"/>
          <w:left w:val="single" w:sz="14" w:space="0" w:color="808080"/>
          <w:bottom w:val="single" w:sz="14" w:space="0" w:color="808080"/>
          <w:right w:val="single" w:sz="14" w:space="0" w:color="808080"/>
          <w:insideH w:val="single" w:sz="4" w:space="0" w:color="B7B7B7"/>
          <w:insideV w:val="single" w:sz="4" w:space="0" w:color="B7B7B7"/>
        </w:tblBorders>
      </w:tblPr>
      <w:tblGrid>
        <w:gridCol w:w="4513"/>
        <w:gridCol w:w="4513"/>
      </w:tblGrid>
      <w:tr>
        <w:tc>
          <w:tcPr>
            <w:tcW w:type="pct" w:w="1500"/>
            <w:shd w:val="clear" w:color="auto" w:fill="D9D9D9"/>
            <w:tcBorders>
              <w:bottom w:val="double" w:sz="6" w:space="0" w:color="808080"/>
            </w:tcBorders>
          </w:tcPr>
          <w:p>
            <w:pPr>
              <w:autoSpaceDN w:val="0"/>
              <w:autoSpaceDE w:val="0"/>
            </w:pPr>
            <w:r>
              <w:rPr>
                <w:rFonts w:ascii="맑은 고딕" w:hAnsi="맑은 고딕" w:eastAsia="맑은 고딕" w:cs="맑은 고딕"/>
                <w:b/>
                <w:color w:val="000000"/>
                <w:sz w:val="19"/>
              </w:rPr>
              <w:t>조항</w:t>
            </w:r>
          </w:p>
        </w:tc>
        <w:tc>
          <w:tcPr>
            <w:tcW w:type="pct" w:w="3500"/>
            <w:shd w:val="clear" w:color="auto" w:fill="D9D9D9"/>
            <w:tcBorders>
              <w:bottom w:val="double" w:sz="6" w:space="0" w:color="808080"/>
            </w:tcBorders>
          </w:tcPr>
          <w:p>
            <w:pPr>
              <w:autoSpaceDN w:val="0"/>
              <w:autoSpaceDE w:val="0"/>
            </w:pPr>
            <w:r>
              <w:rPr>
                <w:rFonts w:ascii="맑은 고딕" w:hAnsi="맑은 고딕" w:eastAsia="맑은 고딕" w:cs="맑은 고딕"/>
                <w:b/>
                <w:color w:val="000000"/>
                <w:sz w:val="19"/>
              </w:rPr>
              <w:t>적용 문구</w:t>
            </w:r>
          </w:p>
        </w:tc>
      </w:tr>
      <w:tr>
        <w:tc>
          <w:tcPr>
            <w:tcW w:type="pct" w:w="1500"/>
            <w:shd w:val="clear" w:color="auto" w:fill="F2F2F2"/>
          </w:tcPr>
          <w:p>
            <w:pPr>
              <w:autoSpaceDN w:val="0"/>
              <w:autoSpaceDE w:val="0"/>
            </w:pPr>
            <w:r>
              <w:rPr>
                <w:rFonts w:ascii="맑은 고딕" w:hAnsi="맑은 고딕" w:eastAsia="맑은 고딕" w:cs="맑은 고딕"/>
                <w:b/>
                <w:color w:val="000000"/>
                <w:sz w:val="19"/>
              </w:rPr>
              <w:t>대기환경보전법</w:t>
            </w:r>
            <w:r>
              <w:rPr>
                <w:rFonts w:ascii="맑은 고딕" w:hAnsi="맑은 고딕" w:eastAsia="맑은 고딕" w:cs="맑은 고딕"/>
                <w:b/>
                <w:color w:val="000000"/>
                <w:sz w:val="19"/>
              </w:rPr>
              <w:br/>
            </w:r>
            <w:r>
              <w:rPr>
                <w:rFonts w:ascii="맑은 고딕" w:hAnsi="맑은 고딕" w:eastAsia="맑은 고딕" w:cs="맑은 고딕"/>
                <w:b/>
                <w:color w:val="000000"/>
                <w:sz w:val="19"/>
              </w:rPr>
              <w:t>제23조 제1항</w:t>
            </w:r>
            <w:r>
              <w:rPr>
                <w:rFonts w:ascii="맑은 고딕" w:hAnsi="맑은 고딕" w:eastAsia="맑은 고딕" w:cs="맑은 고딕"/>
                <w:b/>
                <w:color w:val="000000"/>
                <w:sz w:val="19"/>
              </w:rPr>
              <w:br/>
            </w:r>
            <w:r>
              <w:rPr>
                <w:rFonts w:ascii="맑은 고딕" w:hAnsi="맑은 고딕" w:eastAsia="맑은 고딕" w:cs="맑은 고딕"/>
                <w:b/>
                <w:color w:val="000000"/>
                <w:sz w:val="19"/>
              </w:rPr>
              <w:t>(구 제10조 제1항)</w:t>
            </w:r>
          </w:p>
        </w:tc>
        <w:tc>
          <w:tcPr>
            <w:tcW w:type="pct" w:w="3500"/>
          </w:tcPr>
          <w:p>
            <w:pPr>
              <w:autoSpaceDN w:val="0"/>
              <w:autoSpaceDE w:val="0"/>
            </w:pPr>
            <w:r>
              <w:rPr>
                <w:rFonts w:ascii="맑은 고딕" w:hAnsi="맑은 고딕" w:eastAsia="맑은 고딕" w:cs="맑은 고딕"/>
                <w:color w:val="000000"/>
                <w:sz w:val="19"/>
              </w:rPr>
              <w:t>배출시설을 설치하려는 자는 대통령령으로 정하는 바에 따라 시·도지사의 허가를 받거나 시·도지사에게 신고하여야 한다.</w:t>
            </w:r>
          </w:p>
        </w:tc>
      </w:tr>
      <w:tr>
        <w:tc>
          <w:tcPr>
            <w:tcW w:type="pct" w:w="1500"/>
            <w:shd w:val="clear" w:color="auto" w:fill="F2F2F2"/>
          </w:tcPr>
          <w:p>
            <w:pPr>
              <w:autoSpaceDN w:val="0"/>
              <w:autoSpaceDE w:val="0"/>
            </w:pPr>
            <w:r>
              <w:rPr>
                <w:rFonts w:ascii="맑은 고딕" w:hAnsi="맑은 고딕" w:eastAsia="맑은 고딕" w:cs="맑은 고딕"/>
                <w:b/>
                <w:color w:val="000000"/>
                <w:sz w:val="19"/>
              </w:rPr>
              <w:t>대기환경보전법</w:t>
            </w:r>
            <w:r>
              <w:rPr>
                <w:rFonts w:ascii="맑은 고딕" w:hAnsi="맑은 고딕" w:eastAsia="맑은 고딕" w:cs="맑은 고딕"/>
                <w:b/>
                <w:color w:val="000000"/>
                <w:sz w:val="19"/>
              </w:rPr>
              <w:br/>
            </w:r>
            <w:r>
              <w:rPr>
                <w:rFonts w:ascii="맑은 고딕" w:hAnsi="맑은 고딕" w:eastAsia="맑은 고딕" w:cs="맑은 고딕"/>
                <w:b/>
                <w:color w:val="000000"/>
                <w:sz w:val="19"/>
              </w:rPr>
              <w:t>제36조</w:t>
            </w:r>
            <w:r>
              <w:rPr>
                <w:rFonts w:ascii="맑은 고딕" w:hAnsi="맑은 고딕" w:eastAsia="맑은 고딕" w:cs="맑은 고딕"/>
                <w:b/>
                <w:color w:val="000000"/>
                <w:sz w:val="19"/>
              </w:rPr>
              <w:br/>
            </w:r>
            <w:r>
              <w:rPr>
                <w:rFonts w:ascii="맑은 고딕" w:hAnsi="맑은 고딕" w:eastAsia="맑은 고딕" w:cs="맑은 고딕"/>
                <w:b/>
                <w:color w:val="000000"/>
                <w:sz w:val="19"/>
              </w:rPr>
              <w:t>(구 제21조 제1항)</w:t>
            </w:r>
          </w:p>
        </w:tc>
        <w:tc>
          <w:tcPr>
            <w:tcW w:type="pct" w:w="3500"/>
          </w:tcPr>
          <w:p>
            <w:pPr>
              <w:autoSpaceDN w:val="0"/>
              <w:autoSpaceDE w:val="0"/>
            </w:pPr>
            <w:r>
              <w:rPr>
                <w:rFonts w:ascii="맑은 고딕" w:hAnsi="맑은 고딕" w:eastAsia="맑은 고딕" w:cs="맑은 고딕"/>
                <w:color w:val="000000"/>
                <w:sz w:val="19"/>
              </w:rPr>
              <w:t>거짓이나 그 밖의 부정한 방법으로 허가·변경허가를 받거나 신고·변경신고를 한 경우 등에는 배출시설의 설치허가·변경허가를 취소하거나 배출시설의 폐쇄 또는 6개월 이내의 조업정지를 명할 수 있다.</w:t>
            </w:r>
          </w:p>
        </w:tc>
      </w:tr>
      <w:tr>
        <w:tc>
          <w:tcPr>
            <w:tcW w:type="pct" w:w="1500"/>
            <w:shd w:val="clear" w:color="auto" w:fill="F2F2F2"/>
          </w:tcPr>
          <w:p>
            <w:pPr>
              <w:autoSpaceDN w:val="0"/>
              <w:autoSpaceDE w:val="0"/>
            </w:pPr>
            <w:r>
              <w:rPr>
                <w:rFonts w:ascii="맑은 고딕" w:hAnsi="맑은 고딕" w:eastAsia="맑은 고딕" w:cs="맑은 고딕"/>
                <w:b/>
                <w:color w:val="000000"/>
                <w:sz w:val="19"/>
              </w:rPr>
              <w:t>대기환경보전법</w:t>
            </w:r>
            <w:r>
              <w:rPr>
                <w:rFonts w:ascii="맑은 고딕" w:hAnsi="맑은 고딕" w:eastAsia="맑은 고딕" w:cs="맑은 고딕"/>
                <w:b/>
                <w:color w:val="000000"/>
                <w:sz w:val="19"/>
              </w:rPr>
              <w:br/>
            </w:r>
            <w:r>
              <w:rPr>
                <w:rFonts w:ascii="맑은 고딕" w:hAnsi="맑은 고딕" w:eastAsia="맑은 고딕" w:cs="맑은 고딕"/>
                <w:b/>
                <w:color w:val="000000"/>
                <w:sz w:val="19"/>
              </w:rPr>
              <w:t>제38조</w:t>
            </w:r>
          </w:p>
        </w:tc>
        <w:tc>
          <w:tcPr>
            <w:tcW w:type="pct" w:w="3500"/>
          </w:tcPr>
          <w:p>
            <w:pPr>
              <w:autoSpaceDN w:val="0"/>
              <w:autoSpaceDE w:val="0"/>
            </w:pPr>
            <w:r>
              <w:rPr>
                <w:rFonts w:ascii="맑은 고딕" w:hAnsi="맑은 고딕" w:eastAsia="맑은 고딕" w:cs="맑은 고딕"/>
                <w:color w:val="000000"/>
                <w:sz w:val="19"/>
              </w:rPr>
              <w:t>허가를 받지 아니하거나 신고를 하지 아니하고 배출시설을 설치하거나 사용하는 자에게는 사용중지를 명하여야 하고, 그 설치장소가 다른 법률에 따라 그 배출시설의 설치가 금지된 경우 등에는 폐쇄를 명하여야 한다.</w:t>
            </w:r>
          </w:p>
        </w:tc>
      </w:tr>
      <w:tr>
        <w:tc>
          <w:tcPr>
            <w:tcW w:type="pct" w:w="1500"/>
            <w:shd w:val="clear" w:color="auto" w:fill="F2F2F2"/>
          </w:tcPr>
          <w:p>
            <w:pPr>
              <w:autoSpaceDN w:val="0"/>
              <w:autoSpaceDE w:val="0"/>
            </w:pPr>
            <w:r>
              <w:rPr>
                <w:rFonts w:ascii="맑은 고딕" w:hAnsi="맑은 고딕" w:eastAsia="맑은 고딕" w:cs="맑은 고딕"/>
                <w:b/>
                <w:color w:val="000000"/>
                <w:sz w:val="19"/>
              </w:rPr>
              <w:t>대기환경보전법</w:t>
            </w:r>
            <w:r>
              <w:rPr>
                <w:rFonts w:ascii="맑은 고딕" w:hAnsi="맑은 고딕" w:eastAsia="맑은 고딕" w:cs="맑은 고딕"/>
                <w:b/>
                <w:color w:val="000000"/>
                <w:sz w:val="19"/>
              </w:rPr>
              <w:br/>
            </w:r>
            <w:r>
              <w:rPr>
                <w:rFonts w:ascii="맑은 고딕" w:hAnsi="맑은 고딕" w:eastAsia="맑은 고딕" w:cs="맑은 고딕"/>
                <w:b/>
                <w:color w:val="000000"/>
                <w:sz w:val="19"/>
              </w:rPr>
              <w:t>제23조 제9항</w:t>
            </w:r>
          </w:p>
        </w:tc>
        <w:tc>
          <w:tcPr>
            <w:tcW w:type="pct" w:w="3500"/>
          </w:tcPr>
          <w:p>
            <w:pPr>
              <w:autoSpaceDN w:val="0"/>
              <w:autoSpaceDE w:val="0"/>
            </w:pPr>
            <w:r>
              <w:rPr>
                <w:rFonts w:ascii="맑은 고딕" w:hAnsi="맑은 고딕" w:eastAsia="맑은 고딕" w:cs="맑은 고딕"/>
                <w:color w:val="000000"/>
                <w:sz w:val="19"/>
              </w:rPr>
              <w:t>기후에너지환경부장관 또는 시·도지사는 허가 또는 변경허가를 하는 경우 주민 건강이나 주변환경의 보호 및 배출시설의 적정관리 등을 위하여 필요한 조건을 붙일 수 있다. 이 경우 허가조건은 최소한도의 것이어야 한다.</w:t>
            </w:r>
          </w:p>
        </w:tc>
      </w:tr>
      <w:tr>
        <w:tc>
          <w:tcPr>
            <w:tcW w:type="pct" w:w="1500"/>
            <w:shd w:val="clear" w:color="auto" w:fill="F2F2F2"/>
          </w:tcPr>
          <w:p>
            <w:pPr>
              <w:autoSpaceDN w:val="0"/>
              <w:autoSpaceDE w:val="0"/>
            </w:pPr>
            <w:r>
              <w:rPr>
                <w:rFonts w:ascii="맑은 고딕" w:hAnsi="맑은 고딕" w:eastAsia="맑은 고딕" w:cs="맑은 고딕"/>
                <w:b/>
                <w:color w:val="000000"/>
                <w:sz w:val="19"/>
              </w:rPr>
              <w:t>물환경보전법</w:t>
            </w:r>
            <w:r>
              <w:rPr>
                <w:rFonts w:ascii="맑은 고딕" w:hAnsi="맑은 고딕" w:eastAsia="맑은 고딕" w:cs="맑은 고딕"/>
                <w:b/>
                <w:color w:val="000000"/>
                <w:sz w:val="19"/>
              </w:rPr>
              <w:br/>
            </w:r>
            <w:r>
              <w:rPr>
                <w:rFonts w:ascii="맑은 고딕" w:hAnsi="맑은 고딕" w:eastAsia="맑은 고딕" w:cs="맑은 고딕"/>
                <w:b/>
                <w:color w:val="000000"/>
                <w:sz w:val="19"/>
              </w:rPr>
              <w:t>제33조 제1항</w:t>
            </w:r>
            <w:r>
              <w:rPr>
                <w:rFonts w:ascii="맑은 고딕" w:hAnsi="맑은 고딕" w:eastAsia="맑은 고딕" w:cs="맑은 고딕"/>
                <w:b/>
                <w:color w:val="000000"/>
                <w:sz w:val="19"/>
              </w:rPr>
              <w:br/>
            </w:r>
            <w:r>
              <w:rPr>
                <w:rFonts w:ascii="맑은 고딕" w:hAnsi="맑은 고딕" w:eastAsia="맑은 고딕" w:cs="맑은 고딕"/>
                <w:b/>
                <w:color w:val="000000"/>
                <w:sz w:val="19"/>
              </w:rPr>
              <w:t>(구 수질환경보전법 제10조 제1항)</w:t>
            </w:r>
          </w:p>
        </w:tc>
        <w:tc>
          <w:tcPr>
            <w:tcW w:type="pct" w:w="3500"/>
          </w:tcPr>
          <w:p>
            <w:pPr>
              <w:autoSpaceDN w:val="0"/>
              <w:autoSpaceDE w:val="0"/>
            </w:pPr>
            <w:r>
              <w:rPr>
                <w:rFonts w:ascii="맑은 고딕" w:hAnsi="맑은 고딕" w:eastAsia="맑은 고딕" w:cs="맑은 고딕"/>
                <w:color w:val="000000"/>
                <w:sz w:val="19"/>
              </w:rPr>
              <w:t>폐수배출시설을 설치하려는 자는 대통령령으로 정하는 바에 따라 시·도지사의 허가를 받거나 시·도지사에게 신고하여야 한다.</w:t>
            </w:r>
          </w:p>
        </w:tc>
      </w:tr>
    </w:tbl>
    <w:p>
      <w:pPr>
        <w:autoSpaceDN w:val="0"/>
        <w:autoSpaceDE w:val="0"/>
        <w:pStyle w:val="note"/>
        <w:spacing w:before="80"/>
      </w:pPr>
      <w:r>
        <w:rPr>
          <w:rFonts w:ascii="맑은 고딕" w:hAnsi="맑은 고딕" w:eastAsia="맑은 고딕" w:cs="맑은 고딕"/>
          <w:color w:val="000000"/>
        </w:rPr>
        <w:t>※ ‘적용 문구’는 현행 조문을 요약한 것으로, 구법이 적용된 사건은 당시 조문과 다를 수 있습니다.</w:t>
      </w:r>
    </w:p>
    <w:p>
      <w:pPr>
        <w:autoSpaceDN w:val="0"/>
        <w:autoSpaceDE w:val="0"/>
        <w:pStyle w:val="note"/>
        <w:spacing w:before="120"/>
      </w:pPr>
      <w:r>
        <w:rPr>
          <w:rFonts w:ascii="맑은 고딕" w:hAnsi="맑은 고딕" w:eastAsia="맑은 고딕" w:cs="맑은 고딕"/>
          <w:color w:val="000000"/>
        </w:rPr>
        <w:t>※ 본 정리는 국가법령정보센터 판례를 정리한 참고자료이며, 구체적 사안은 판결 원문과 전문가 검토가 필요합니다.</w:t>
      </w:r>
    </w:p>
    <w:p>
      <w:pPr>
        <w:autoSpaceDN w:val="0"/>
        <w:autoSpaceDE w:val="0"/>
        <w:spacing w:before="120"/>
      </w:pPr>
      <w:r>
        <w:rPr>
          <w:rFonts w:ascii="맑은 고딕" w:hAnsi="맑은 고딕" w:eastAsia="맑은 고딕" w:cs="맑은 고딕"/>
          <w:color w:val="000000"/>
          <w:sz w:val="18"/>
        </w:rPr>
        <w:t>원문  https://www.law.go.kr/판례/(2003두8289)</w:t>
      </w:r>
    </w:p>
    <w:p>
      <w:pPr>
        <w:autoSpaceDN w:val="0"/>
        <w:autoSpaceDE w:val="0"/>
        <w:spacing w:before="80"/>
      </w:pPr>
      <w:r>
        <w:rPr>
          <w:rFonts w:ascii="맑은 고딕" w:hAnsi="맑은 고딕" w:eastAsia="맑은 고딕" w:cs="맑은 고딕"/>
          <w:color w:val="000000"/>
          <w:sz w:val="18"/>
        </w:rPr>
        <w:t>태그  #대기환경보전법 #대기배출시설 #폐수배출시설 #설치신고수리 #폐쇄명령 #유효기간 #행정판례 #대법원판례 #2004년판례 #2003두8289 #환경법 #환경인허가 #인허가서대리 #서대리</w:t>
      </w:r>
    </w:p>
    <w:p>
      <w:pPr>
        <w:autoSpaceDN w:val="0"/>
        <w:autoSpaceDE w:val="0"/>
        <w:pStyle w:val="mark"/>
      </w:pPr>
      <w:r>
        <w:rPr>
          <w:rFonts w:ascii="맑은 고딕" w:hAnsi="맑은 고딕" w:eastAsia="맑은 고딕" w:cs="맑은 고딕"/>
          <w:color w:val="000000"/>
        </w:rPr>
        <w:t>인허가 서대리  https://seodaeri.com/</w:t>
      </w:r>
    </w:p>
    <w:sectPr w:rsidR="00B27BFC">
      <w:pgSz w:w="11906" w:h="16838"/>
      <w:pgMar w:top="1701" w:right="1440" w:bottom="1440" w:left="1440" w:header="851" w:footer="992" w:gutter="0"/>
      <w:cols w:space="425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825019F" w14:textId="77777777" w:rsidR="00B27BFC" w:rsidRDefault="00B27BFC" w:rsidP="00F52617">
      <w:r>
        <w:separator/>
      </w:r>
    </w:p>
  </w:endnote>
  <w:endnote w:type="continuationSeparator" w:id="0">
    <w:p w14:paraId="7974C6BA" w14:textId="77777777" w:rsidR="00B27BFC" w:rsidRDefault="00B27BFC" w:rsidP="00F52617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맑은 고딕">
    <w:panose1 w:val="020B0503020000020004"/>
    <w:charset w:val="81"/>
    <w:family w:val="modern"/>
    <w:pitch w:val="variable"/>
    <w:sig w:usb0="9000002F" w:usb1="29D77CFB" w:usb2="00000012" w:usb3="00000000" w:csb0="00080001" w:csb1="00000000"/>
  </w:font>
  <w:font w:name="굴림">
    <w:altName w:val="Gulim"/>
    <w:panose1 w:val="020B0600000101010101"/>
    <w:charset w:val="81"/>
    <w:family w:val="modern"/>
    <w:pitch w:val="variable"/>
    <w:sig w:usb0="B00002AF" w:usb1="69D77CFB" w:usb2="00000030" w:usb3="00000000" w:csb0="000800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5CAD215" w14:textId="77777777" w:rsidR="00B27BFC" w:rsidRDefault="00B27BFC" w:rsidP="00F52617">
      <w:r>
        <w:separator/>
      </w:r>
    </w:p>
  </w:footnote>
  <w:footnote w:type="continuationSeparator" w:id="0">
    <w:p w14:paraId="7300C114" w14:textId="77777777" w:rsidR="00B27BFC" w:rsidRDefault="00B27BFC" w:rsidP="00F52617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BEB13F6"/>
    <w:multiLevelType w:val="multilevel"/>
    <w:tmpl w:val="EF2AA2F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2D8A3F22"/>
    <w:multiLevelType w:val="multilevel"/>
    <w:tmpl w:val="801ADFA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 w15:restartNumberingAfterBreak="0">
    <w:nsid w:val="40AF3513"/>
    <w:multiLevelType w:val="multilevel"/>
    <w:tmpl w:val="A90A5BE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 w15:restartNumberingAfterBreak="0">
    <w:nsid w:val="5B35387B"/>
    <w:multiLevelType w:val="multilevel"/>
    <w:tmpl w:val="0E32E4F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402799665">
    <w:abstractNumId w:val="2"/>
  </w:num>
  <w:num w:numId="2" w16cid:durableId="1051461951">
    <w:abstractNumId w:val="0"/>
  </w:num>
  <w:num w:numId="3" w16cid:durableId="1212620573">
    <w:abstractNumId w:val="3"/>
  </w:num>
  <w:num w:numId="4" w16cid:durableId="627400375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800"/>
  <w:noPunctuationKerning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doNotSnapToGridInCell/>
    <w:doNotWrapTextWithPunct/>
    <w:doNotUseEastAsianBreakRules/>
    <w:growAutofit/>
    <w:useFELayout/>
    <w:compatSetting w:name="compatibilityMode" w:uri="http://schemas.microsoft.com/office/word" w:val="15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52617"/>
    <w:rsid w:val="00A42A17"/>
    <w:rsid w:val="00B27BFC"/>
    <w:rsid w:val="00F5261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ko-KR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."/>
  <w:listSeparator w:val=","/>
  <w14:docId w14:val="6DF796CA"/>
  <w15:chartTrackingRefBased/>
  <w15:docId w15:val="{AB8F6F78-766D-4920-A396-8027FE2C1BD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Theme="minorEastAsia" w:hAnsi="Times New Roman" w:cs="Times New Roman"/>
        <w:lang w:val="en-US" w:eastAsia="ko-KR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qFormat="1"/>
    <w:lsdException w:name="heading 3" w:uiPriority="9" w:qFormat="1"/>
    <w:lsdException w:name="heading 4" w:uiPriority="9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Pr>
      <w:rFonts w:ascii="굴림" w:eastAsia="굴림" w:hAnsi="굴림" w:cs="굴림"/>
      <w:sz w:val="24"/>
      <w:szCs w:val="24"/>
    </w:rPr>
  </w:style>
  <w:style w:type="paragraph" w:styleId="1">
    <w:name w:val="heading 1"/>
    <w:basedOn w:val="a"/>
    <w:link w:val="1Char"/>
    <w:uiPriority w:val="9"/>
    <w:qFormat/>
    <w:pPr>
      <w:spacing w:before="100" w:beforeAutospacing="1" w:after="100" w:afterAutospacing="1"/>
      <w:outlineLvl w:val="0"/>
    </w:pPr>
    <w:rPr>
      <w:b/>
      <w:bCs/>
      <w:kern w:val="36"/>
      <w:sz w:val="48"/>
      <w:szCs w:val="48"/>
    </w:rPr>
  </w:style>
  <w:style w:type="paragraph" w:styleId="2">
    <w:name w:val="heading 2"/>
    <w:basedOn w:val="a"/>
    <w:link w:val="2Char"/>
    <w:uiPriority w:val="9"/>
    <w:qFormat/>
    <w:pPr>
      <w:spacing w:before="450" w:after="150"/>
      <w:outlineLvl w:val="1"/>
    </w:pPr>
    <w:rPr>
      <w:b/>
      <w:bCs/>
      <w:sz w:val="23"/>
      <w:szCs w:val="23"/>
    </w:rPr>
  </w:style>
  <w:style w:type="paragraph" w:styleId="3">
    <w:name w:val="heading 3"/>
    <w:basedOn w:val="a"/>
    <w:link w:val="3Char"/>
    <w:uiPriority w:val="9"/>
    <w:qFormat/>
    <w:pPr>
      <w:spacing w:before="165" w:after="75"/>
      <w:outlineLvl w:val="2"/>
    </w:pPr>
    <w:rPr>
      <w:b/>
      <w:bCs/>
      <w:sz w:val="20"/>
      <w:szCs w:val="20"/>
    </w:rPr>
  </w:style>
  <w:style w:type="paragraph" w:styleId="4">
    <w:name w:val="heading 4"/>
    <w:basedOn w:val="a"/>
    <w:link w:val="4Char"/>
    <w:uiPriority w:val="9"/>
    <w:qFormat/>
    <w:pPr>
      <w:spacing w:before="210" w:after="75"/>
      <w:outlineLvl w:val="3"/>
    </w:pPr>
    <w:rPr>
      <w:b/>
      <w:bCs/>
      <w:sz w:val="19"/>
      <w:szCs w:val="19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  <w:trPr>
      <w:hidden/>
    </w:trPr>
  </w:style>
  <w:style w:type="numbering" w:default="1" w:styleId="a2">
    <w:name w:val="No List"/>
    <w:uiPriority w:val="99"/>
    <w:semiHidden/>
    <w:unhideWhenUsed/>
  </w:style>
  <w:style w:type="character" w:customStyle="1" w:styleId="1Char">
    <w:name w:val="제목 1 Char"/>
    <w:basedOn w:val="a0"/>
    <w:link w:val="1"/>
    <w:uiPriority w:val="9"/>
    <w:rPr>
      <w:rFonts w:asciiTheme="majorHAnsi" w:eastAsiaTheme="majorEastAsia" w:hAnsiTheme="majorHAnsi" w:cstheme="majorBidi"/>
      <w:color w:val="000000" w:themeColor="text1"/>
      <w:sz w:val="32"/>
      <w:szCs w:val="32"/>
    </w:rPr>
  </w:style>
  <w:style w:type="character" w:customStyle="1" w:styleId="2Char">
    <w:name w:val="제목 2 Char"/>
    <w:basedOn w:val="a0"/>
    <w:link w:val="2"/>
    <w:uiPriority w:val="9"/>
    <w:semiHidden/>
    <w:rPr>
      <w:rFonts w:asciiTheme="majorHAnsi" w:eastAsiaTheme="majorEastAsia" w:hAnsiTheme="majorHAnsi" w:cstheme="majorBidi"/>
      <w:color w:val="000000" w:themeColor="text1"/>
      <w:sz w:val="28"/>
      <w:szCs w:val="28"/>
    </w:rPr>
  </w:style>
  <w:style w:type="character" w:customStyle="1" w:styleId="3Char">
    <w:name w:val="제목 3 Char"/>
    <w:basedOn w:val="a0"/>
    <w:link w:val="3"/>
    <w:uiPriority w:val="9"/>
    <w:semiHidden/>
    <w:rPr>
      <w:rFonts w:asciiTheme="majorHAnsi" w:eastAsiaTheme="majorEastAsia" w:hAnsiTheme="majorHAnsi" w:cstheme="majorBidi"/>
      <w:color w:val="000000" w:themeColor="text1"/>
      <w:sz w:val="24"/>
      <w:szCs w:val="24"/>
    </w:rPr>
  </w:style>
  <w:style w:type="character" w:customStyle="1" w:styleId="4Char">
    <w:name w:val="제목 4 Char"/>
    <w:basedOn w:val="a0"/>
    <w:link w:val="4"/>
    <w:uiPriority w:val="9"/>
    <w:semiHidden/>
    <w:rPr>
      <w:rFonts w:asciiTheme="majorHAnsi" w:eastAsiaTheme="majorEastAsia" w:hAnsiTheme="majorHAnsi" w:cstheme="majorBidi"/>
      <w:color w:val="000000" w:themeColor="text1"/>
      <w:sz w:val="24"/>
      <w:szCs w:val="24"/>
    </w:rPr>
  </w:style>
  <w:style w:type="paragraph" w:customStyle="1" w:styleId="msonormal0">
    <w:name w:val="msonormal"/>
    <w:basedOn w:val="a"/>
    <w:pPr>
      <w:spacing w:before="100" w:beforeAutospacing="1" w:after="100" w:afterAutospacing="1"/>
    </w:pPr>
  </w:style>
  <w:style w:type="paragraph" w:styleId="a3">
    <w:name w:val="Normal (Web)"/>
    <w:basedOn w:val="a"/>
    <w:uiPriority w:val="99"/>
    <w:semiHidden/>
    <w:unhideWhenUsed/>
    <w:pPr>
      <w:spacing w:before="100" w:beforeAutospacing="1" w:after="100" w:afterAutospacing="1"/>
    </w:pPr>
  </w:style>
  <w:style w:type="paragraph" w:customStyle="1" w:styleId="page">
    <w:name w:val="page"/>
    <w:basedOn w:val="a"/>
    <w:pPr>
      <w:shd w:val="clear" w:color="auto" w:fill="FFFFFF"/>
    </w:pPr>
  </w:style>
  <w:style w:type="paragraph" w:customStyle="1" w:styleId="toolbar">
    <w:name w:val="toolbar"/>
    <w:basedOn w:val="a"/>
    <w:pPr>
      <w:jc w:val="right"/>
    </w:pPr>
    <w:rPr>
      <w:vanish/>
    </w:rPr>
  </w:style>
  <w:style w:type="paragraph" w:customStyle="1" w:styleId="btn">
    <w:name w:val="btn"/>
    <w:basedOn w:val="a"/>
    <w:pPr>
      <w:pBdr>
        <w:top w:val="single" w:sz="6" w:space="4" w:color="999999"/>
        <w:left w:val="single" w:sz="6" w:space="11" w:color="999999"/>
        <w:bottom w:val="single" w:sz="6" w:space="4" w:color="999999"/>
        <w:right w:val="single" w:sz="6" w:space="11" w:color="999999"/>
      </w:pBdr>
      <w:shd w:val="clear" w:color="auto" w:fill="FFFFFF"/>
      <w:spacing w:before="100" w:beforeAutospacing="1" w:after="100" w:afterAutospacing="1"/>
    </w:pPr>
    <w:rPr>
      <w:color w:val="333333"/>
      <w:sz w:val="18"/>
      <w:szCs w:val="18"/>
    </w:rPr>
  </w:style>
  <w:style w:type="paragraph" w:customStyle="1" w:styleId="doc-head">
    <w:name w:val="doc-head"/>
    <w:basedOn w:val="a"/>
    <w:pPr>
      <w:spacing w:before="100" w:beforeAutospacing="1" w:after="270"/>
      <w:jc w:val="center"/>
    </w:pPr>
  </w:style>
  <w:style w:type="paragraph" w:customStyle="1" w:styleId="bt">
    <w:name w:val="bt"/>
    <w:basedOn w:val="a"/>
    <w:pPr>
      <w:spacing w:before="75" w:after="45"/>
    </w:pPr>
    <w:rPr>
      <w:sz w:val="19"/>
      <w:szCs w:val="19"/>
    </w:rPr>
  </w:style>
  <w:style w:type="paragraph" w:customStyle="1" w:styleId="law-box">
    <w:name w:val="law-box"/>
    <w:basedOn w:val="a"/>
    <w:pPr>
      <w:shd w:val="clear" w:color="auto" w:fill="FBFBFB"/>
      <w:spacing w:before="120" w:after="60"/>
    </w:pPr>
  </w:style>
  <w:style w:type="paragraph" w:customStyle="1" w:styleId="note">
    <w:name w:val="note"/>
    <w:basedOn w:val="a"/>
    <w:pPr>
      <w:spacing w:before="105"/>
      <w:ind w:hanging="225"/>
    </w:pPr>
    <w:rPr>
      <w:b/>
      <w:bCs/>
      <w:sz w:val="19"/>
      <w:szCs w:val="19"/>
    </w:rPr>
  </w:style>
  <w:style w:type="paragraph" w:customStyle="1" w:styleId="src">
    <w:name w:val="src"/>
    <w:basedOn w:val="a"/>
    <w:pPr>
      <w:spacing w:before="90"/>
    </w:pPr>
    <w:rPr>
      <w:sz w:val="17"/>
      <w:szCs w:val="17"/>
    </w:rPr>
  </w:style>
  <w:style w:type="paragraph" w:customStyle="1" w:styleId="mark">
    <w:name w:val="mark"/>
    <w:basedOn w:val="a"/>
    <w:pPr>
      <w:spacing w:before="90"/>
      <w:jc w:val="right"/>
    </w:pPr>
    <w:rPr>
      <w:b/>
      <w:bCs/>
      <w:color w:val="9A9A9A"/>
      <w:spacing w:val="3"/>
      <w:sz w:val="17"/>
      <w:szCs w:val="17"/>
    </w:rPr>
  </w:style>
  <w:style w:type="paragraph" w:customStyle="1" w:styleId="runfoot">
    <w:name w:val="runfoot"/>
    <w:basedOn w:val="a"/>
    <w:pPr>
      <w:spacing w:before="240" w:after="100" w:afterAutospacing="1"/>
    </w:pPr>
    <w:rPr>
      <w:b/>
      <w:bCs/>
      <w:color w:val="666666"/>
      <w:sz w:val="17"/>
      <w:szCs w:val="17"/>
    </w:rPr>
  </w:style>
  <w:style w:type="paragraph" w:customStyle="1" w:styleId="sm">
    <w:name w:val="sm"/>
    <w:basedOn w:val="a"/>
    <w:pPr>
      <w:spacing w:before="100" w:beforeAutospacing="1" w:after="100" w:afterAutospacing="1"/>
    </w:pPr>
  </w:style>
  <w:style w:type="paragraph" w:customStyle="1" w:styleId="law">
    <w:name w:val="law"/>
    <w:basedOn w:val="a"/>
    <w:pPr>
      <w:spacing w:before="100" w:beforeAutospacing="1" w:after="100" w:afterAutospacing="1"/>
    </w:pPr>
  </w:style>
  <w:style w:type="paragraph" w:customStyle="1" w:styleId="rule">
    <w:name w:val="rule"/>
    <w:basedOn w:val="a"/>
    <w:pPr>
      <w:spacing w:before="100" w:beforeAutospacing="1" w:after="100" w:afterAutospacing="1"/>
    </w:pPr>
  </w:style>
  <w:style w:type="paragraph" w:customStyle="1" w:styleId="sep">
    <w:name w:val="sep"/>
    <w:basedOn w:val="a"/>
    <w:pPr>
      <w:spacing w:before="100" w:beforeAutospacing="1" w:after="100" w:afterAutospacing="1"/>
    </w:pPr>
  </w:style>
  <w:style w:type="paragraph" w:customStyle="1" w:styleId="grp">
    <w:name w:val="grp"/>
    <w:basedOn w:val="a"/>
    <w:pPr>
      <w:spacing w:before="100" w:beforeAutospacing="1" w:after="100" w:afterAutospacing="1"/>
    </w:pPr>
  </w:style>
  <w:style w:type="paragraph" w:customStyle="1" w:styleId="v">
    <w:name w:val="v"/>
    <w:basedOn w:val="a"/>
    <w:pPr>
      <w:spacing w:before="100" w:beforeAutospacing="1" w:after="100" w:afterAutospacing="1"/>
    </w:pPr>
  </w:style>
  <w:style w:type="paragraph" w:customStyle="1" w:styleId="ctr">
    <w:name w:val="ctr"/>
    <w:basedOn w:val="a"/>
    <w:pPr>
      <w:spacing w:before="100" w:beforeAutospacing="1" w:after="100" w:afterAutospacing="1"/>
    </w:pPr>
  </w:style>
  <w:style w:type="paragraph" w:customStyle="1" w:styleId="key">
    <w:name w:val="key"/>
    <w:basedOn w:val="a"/>
    <w:pPr>
      <w:spacing w:before="100" w:beforeAutospacing="1" w:after="100" w:afterAutospacing="1"/>
    </w:pPr>
  </w:style>
  <w:style w:type="paragraph" w:customStyle="1" w:styleId="lw">
    <w:name w:val="lw"/>
    <w:basedOn w:val="a"/>
    <w:pPr>
      <w:spacing w:before="100" w:beforeAutospacing="1" w:after="100" w:afterAutospacing="1"/>
    </w:pPr>
  </w:style>
  <w:style w:type="paragraph" w:customStyle="1" w:styleId="na">
    <w:name w:val="na"/>
    <w:basedOn w:val="a"/>
    <w:pPr>
      <w:spacing w:before="100" w:beforeAutospacing="1" w:after="100" w:afterAutospacing="1"/>
    </w:pPr>
  </w:style>
  <w:style w:type="paragraph" w:customStyle="1" w:styleId="cite">
    <w:name w:val="cite"/>
    <w:basedOn w:val="a"/>
    <w:pPr>
      <w:spacing w:before="100" w:beforeAutospacing="1" w:after="100" w:afterAutospacing="1"/>
    </w:pPr>
  </w:style>
  <w:style w:type="paragraph" w:customStyle="1" w:styleId="body">
    <w:name w:val="body"/>
    <w:basedOn w:val="a"/>
    <w:pPr>
      <w:spacing w:before="100" w:beforeAutospacing="1" w:after="100" w:afterAutospacing="1"/>
    </w:pPr>
  </w:style>
  <w:style w:type="paragraph" w:customStyle="1" w:styleId="u">
    <w:name w:val="u"/>
    <w:basedOn w:val="a"/>
    <w:pPr>
      <w:spacing w:before="100" w:beforeAutospacing="1" w:after="100" w:afterAutospacing="1"/>
    </w:pPr>
  </w:style>
  <w:style w:type="paragraph" w:customStyle="1" w:styleId="brand">
    <w:name w:val="brand"/>
    <w:basedOn w:val="a"/>
    <w:pPr>
      <w:spacing w:before="100" w:beforeAutospacing="1" w:after="100" w:afterAutospacing="1"/>
    </w:pPr>
  </w:style>
  <w:style w:type="paragraph" w:customStyle="1" w:styleId="url">
    <w:name w:val="url"/>
    <w:basedOn w:val="a"/>
    <w:pPr>
      <w:spacing w:before="100" w:beforeAutospacing="1" w:after="100" w:afterAutospacing="1"/>
    </w:pPr>
  </w:style>
  <w:style w:type="paragraph" w:customStyle="1" w:styleId="ho">
    <w:name w:val="ho"/>
    <w:basedOn w:val="a"/>
    <w:pPr>
      <w:spacing w:before="100" w:beforeAutospacing="1" w:after="100" w:afterAutospacing="1"/>
    </w:pPr>
  </w:style>
  <w:style w:type="paragraph" w:customStyle="1" w:styleId="mok">
    <w:name w:val="mok"/>
    <w:basedOn w:val="a"/>
    <w:pPr>
      <w:spacing w:before="100" w:beforeAutospacing="1" w:after="100" w:afterAutospacing="1"/>
    </w:pPr>
  </w:style>
  <w:style w:type="paragraph" w:customStyle="1" w:styleId="amend">
    <w:name w:val="amend"/>
    <w:basedOn w:val="a"/>
    <w:pPr>
      <w:spacing w:before="100" w:beforeAutospacing="1" w:after="100" w:afterAutospacing="1"/>
    </w:pPr>
  </w:style>
  <w:style w:type="paragraph" w:customStyle="1" w:styleId="bigo-t">
    <w:name w:val="bigo-t"/>
    <w:basedOn w:val="a"/>
    <w:pPr>
      <w:spacing w:before="100" w:beforeAutospacing="1" w:after="100" w:afterAutospacing="1"/>
    </w:pPr>
  </w:style>
  <w:style w:type="paragraph" w:customStyle="1" w:styleId="eq">
    <w:name w:val="eq"/>
    <w:basedOn w:val="a"/>
    <w:pPr>
      <w:spacing w:before="100" w:beforeAutospacing="1" w:after="100" w:afterAutospacing="1"/>
    </w:pPr>
  </w:style>
  <w:style w:type="paragraph" w:customStyle="1" w:styleId="law1">
    <w:name w:val="law1"/>
    <w:basedOn w:val="a"/>
    <w:pPr>
      <w:spacing w:after="180"/>
    </w:pPr>
    <w:rPr>
      <w:sz w:val="19"/>
      <w:szCs w:val="19"/>
    </w:rPr>
  </w:style>
  <w:style w:type="paragraph" w:customStyle="1" w:styleId="rule1">
    <w:name w:val="rule1"/>
    <w:basedOn w:val="a"/>
  </w:style>
  <w:style w:type="paragraph" w:customStyle="1" w:styleId="sm1">
    <w:name w:val="sm1"/>
    <w:basedOn w:val="a"/>
    <w:pPr>
      <w:spacing w:before="100" w:beforeAutospacing="1" w:after="100" w:afterAutospacing="1"/>
      <w:ind w:left="90"/>
    </w:pPr>
    <w:rPr>
      <w:sz w:val="17"/>
      <w:szCs w:val="17"/>
    </w:rPr>
  </w:style>
  <w:style w:type="paragraph" w:customStyle="1" w:styleId="sep1">
    <w:name w:val="sep1"/>
    <w:basedOn w:val="a"/>
    <w:pPr>
      <w:pBdr>
        <w:left w:val="single" w:sz="6" w:space="0" w:color="E0E0E0"/>
      </w:pBdr>
      <w:spacing w:before="100" w:beforeAutospacing="1" w:after="100" w:afterAutospacing="1"/>
    </w:pPr>
  </w:style>
  <w:style w:type="paragraph" w:customStyle="1" w:styleId="grp1">
    <w:name w:val="grp1"/>
    <w:basedOn w:val="a"/>
    <w:pPr>
      <w:shd w:val="clear" w:color="auto" w:fill="F5F5F5"/>
      <w:spacing w:before="100" w:beforeAutospacing="1" w:after="100" w:afterAutospacing="1"/>
      <w:jc w:val="center"/>
      <w:textAlignment w:val="center"/>
    </w:pPr>
    <w:rPr>
      <w:b/>
      <w:bCs/>
    </w:rPr>
  </w:style>
  <w:style w:type="paragraph" w:customStyle="1" w:styleId="v1">
    <w:name w:val="v1"/>
    <w:basedOn w:val="a"/>
    <w:pPr>
      <w:spacing w:before="100" w:beforeAutospacing="1" w:after="100" w:afterAutospacing="1"/>
      <w:textAlignment w:val="center"/>
    </w:pPr>
  </w:style>
  <w:style w:type="paragraph" w:customStyle="1" w:styleId="ctr1">
    <w:name w:val="ctr1"/>
    <w:basedOn w:val="a"/>
    <w:pPr>
      <w:spacing w:before="100" w:beforeAutospacing="1" w:after="100" w:afterAutospacing="1"/>
      <w:jc w:val="center"/>
    </w:pPr>
  </w:style>
  <w:style w:type="paragraph" w:customStyle="1" w:styleId="key1">
    <w:name w:val="key1"/>
    <w:basedOn w:val="a"/>
    <w:pPr>
      <w:spacing w:before="100" w:beforeAutospacing="1" w:after="100" w:afterAutospacing="1"/>
    </w:pPr>
    <w:rPr>
      <w:b/>
      <w:bCs/>
    </w:rPr>
  </w:style>
  <w:style w:type="paragraph" w:customStyle="1" w:styleId="lw1">
    <w:name w:val="lw1"/>
    <w:basedOn w:val="a"/>
    <w:pPr>
      <w:spacing w:before="100" w:beforeAutospacing="1" w:after="100" w:afterAutospacing="1"/>
      <w:ind w:left="60"/>
    </w:pPr>
    <w:rPr>
      <w:sz w:val="17"/>
      <w:szCs w:val="17"/>
    </w:rPr>
  </w:style>
  <w:style w:type="paragraph" w:customStyle="1" w:styleId="na1">
    <w:name w:val="na1"/>
    <w:basedOn w:val="a"/>
    <w:pPr>
      <w:spacing w:before="100" w:beforeAutospacing="1" w:after="100" w:afterAutospacing="1"/>
    </w:pPr>
    <w:rPr>
      <w:color w:val="8A8A8A"/>
    </w:rPr>
  </w:style>
  <w:style w:type="paragraph" w:customStyle="1" w:styleId="cite1">
    <w:name w:val="cite1"/>
    <w:basedOn w:val="a"/>
    <w:pPr>
      <w:spacing w:after="90"/>
    </w:pPr>
    <w:rPr>
      <w:b/>
      <w:bCs/>
      <w:sz w:val="17"/>
      <w:szCs w:val="17"/>
    </w:rPr>
  </w:style>
  <w:style w:type="paragraph" w:customStyle="1" w:styleId="body1">
    <w:name w:val="body1"/>
    <w:basedOn w:val="a"/>
    <w:pPr>
      <w:spacing w:before="100" w:beforeAutospacing="1" w:after="100" w:afterAutospacing="1"/>
    </w:pPr>
    <w:rPr>
      <w:color w:val="000000"/>
      <w:sz w:val="19"/>
      <w:szCs w:val="19"/>
    </w:rPr>
  </w:style>
  <w:style w:type="paragraph" w:customStyle="1" w:styleId="ho1">
    <w:name w:val="ho1"/>
    <w:basedOn w:val="a"/>
    <w:pPr>
      <w:spacing w:after="75"/>
    </w:pPr>
  </w:style>
  <w:style w:type="paragraph" w:customStyle="1" w:styleId="mok1">
    <w:name w:val="mok1"/>
    <w:basedOn w:val="a"/>
    <w:pPr>
      <w:spacing w:after="75"/>
    </w:pPr>
  </w:style>
  <w:style w:type="paragraph" w:customStyle="1" w:styleId="amend1">
    <w:name w:val="amend1"/>
    <w:basedOn w:val="a"/>
    <w:pPr>
      <w:spacing w:after="75"/>
    </w:pPr>
    <w:rPr>
      <w:sz w:val="16"/>
      <w:szCs w:val="16"/>
    </w:rPr>
  </w:style>
  <w:style w:type="paragraph" w:customStyle="1" w:styleId="bigo-t1">
    <w:name w:val="bigo-t1"/>
    <w:basedOn w:val="a"/>
    <w:pPr>
      <w:spacing w:before="120" w:after="45"/>
    </w:pPr>
    <w:rPr>
      <w:rFonts w:ascii="맑은 고딕" w:eastAsia="맑은 고딕" w:hAnsi="맑은 고딕"/>
      <w:b/>
      <w:bCs/>
      <w:sz w:val="17"/>
      <w:szCs w:val="17"/>
    </w:rPr>
  </w:style>
  <w:style w:type="paragraph" w:customStyle="1" w:styleId="eq1">
    <w:name w:val="eq1"/>
    <w:basedOn w:val="a"/>
    <w:pPr>
      <w:spacing w:before="75" w:after="75"/>
    </w:pPr>
  </w:style>
  <w:style w:type="paragraph" w:customStyle="1" w:styleId="u1">
    <w:name w:val="u1"/>
    <w:basedOn w:val="a"/>
    <w:pPr>
      <w:spacing w:before="100" w:beforeAutospacing="1" w:after="100" w:afterAutospacing="1"/>
      <w:ind w:left="60"/>
    </w:pPr>
    <w:rPr>
      <w:b/>
      <w:bCs/>
      <w:color w:val="B0B0B0"/>
    </w:rPr>
  </w:style>
  <w:style w:type="paragraph" w:customStyle="1" w:styleId="brand1">
    <w:name w:val="brand1"/>
    <w:basedOn w:val="a"/>
    <w:pPr>
      <w:spacing w:before="100" w:beforeAutospacing="1" w:after="100" w:afterAutospacing="1"/>
    </w:pPr>
    <w:rPr>
      <w:b/>
      <w:bCs/>
      <w:color w:val="555555"/>
    </w:rPr>
  </w:style>
  <w:style w:type="paragraph" w:customStyle="1" w:styleId="url1">
    <w:name w:val="url1"/>
    <w:basedOn w:val="a"/>
    <w:pPr>
      <w:spacing w:before="100" w:beforeAutospacing="1" w:after="100" w:afterAutospacing="1"/>
    </w:pPr>
    <w:rPr>
      <w:color w:val="777777"/>
    </w:rPr>
  </w:style>
  <w:style w:type="character" w:customStyle="1" w:styleId="amend2">
    <w:name w:val="amend2"/>
    <w:basedOn w:val="a0"/>
    <w:rPr>
      <w:sz w:val="16"/>
      <w:szCs w:val="16"/>
    </w:rPr>
  </w:style>
  <w:style w:type="paragraph" w:styleId="a4">
    <w:name w:val="header"/>
    <w:basedOn w:val="a"/>
    <w:link w:val="Char"/>
    <w:uiPriority w:val="99"/>
    <w:unhideWhenUsed/>
    <w:rsid w:val="00F52617"/>
    <w:pPr>
      <w:tabs>
        <w:tab w:val="center" w:pos="4513"/>
        <w:tab w:val="right" w:pos="9026"/>
      </w:tabs>
      <w:snapToGrid w:val="0"/>
    </w:pPr>
  </w:style>
  <w:style w:type="character" w:customStyle="1" w:styleId="Char">
    <w:name w:val="머리글 Char"/>
    <w:basedOn w:val="a0"/>
    <w:link w:val="a4"/>
    <w:uiPriority w:val="99"/>
    <w:rsid w:val="00F52617"/>
    <w:rPr>
      <w:rFonts w:ascii="굴림" w:eastAsia="굴림" w:hAnsi="굴림" w:cs="굴림"/>
      <w:sz w:val="24"/>
      <w:szCs w:val="24"/>
    </w:rPr>
  </w:style>
  <w:style w:type="paragraph" w:styleId="a5">
    <w:name w:val="footer"/>
    <w:basedOn w:val="a"/>
    <w:link w:val="Char0"/>
    <w:uiPriority w:val="99"/>
    <w:unhideWhenUsed/>
    <w:rsid w:val="00F52617"/>
    <w:pPr>
      <w:tabs>
        <w:tab w:val="center" w:pos="4513"/>
        <w:tab w:val="right" w:pos="9026"/>
      </w:tabs>
      <w:snapToGrid w:val="0"/>
    </w:pPr>
  </w:style>
  <w:style w:type="character" w:customStyle="1" w:styleId="Char0">
    <w:name w:val="바닥글 Char"/>
    <w:basedOn w:val="a0"/>
    <w:link w:val="a5"/>
    <w:uiPriority w:val="99"/>
    <w:rsid w:val="00F52617"/>
    <w:rPr>
      <w:rFonts w:ascii="굴림" w:eastAsia="굴림" w:hAnsi="굴림" w:cs="굴림"/>
      <w:sz w:val="24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24857381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219238">
          <w:marLeft w:val="0"/>
          <w:marRight w:val="0"/>
          <w:marTop w:val="0"/>
          <w:marBottom w:val="27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27709656">
          <w:marLeft w:val="0"/>
          <w:marRight w:val="0"/>
          <w:marTop w:val="120"/>
          <w:marBottom w:val="6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633604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240868215">
          <w:marLeft w:val="0"/>
          <w:marRight w:val="0"/>
          <w:marTop w:val="120"/>
          <w:marBottom w:val="6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963346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712464575">
          <w:marLeft w:val="0"/>
          <w:marRight w:val="0"/>
          <w:marTop w:val="120"/>
          <w:marBottom w:val="6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944917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865095160">
          <w:marLeft w:val="0"/>
          <w:marRight w:val="0"/>
          <w:marTop w:val="120"/>
          <w:marBottom w:val="6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025786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45494963">
          <w:marLeft w:val="0"/>
          <w:marRight w:val="0"/>
          <w:marTop w:val="120"/>
          <w:marBottom w:val="6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018092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593124277">
          <w:marLeft w:val="0"/>
          <w:marRight w:val="0"/>
          <w:marTop w:val="120"/>
          <w:marBottom w:val="6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282285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94373273">
          <w:marLeft w:val="0"/>
          <w:marRight w:val="0"/>
          <w:marTop w:val="120"/>
          <w:marBottom w:val="6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417001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475339630">
          <w:marLeft w:val="0"/>
          <w:marRight w:val="0"/>
          <w:marTop w:val="120"/>
          <w:marBottom w:val="6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564760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807576728">
          <w:marLeft w:val="0"/>
          <w:marRight w:val="0"/>
          <w:marTop w:val="120"/>
          <w:marBottom w:val="6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188543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847018404">
          <w:marLeft w:val="0"/>
          <w:marRight w:val="0"/>
          <w:marTop w:val="120"/>
          <w:marBottom w:val="6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681102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585461056">
          <w:marLeft w:val="0"/>
          <w:marRight w:val="0"/>
          <w:marTop w:val="120"/>
          <w:marBottom w:val="6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088527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949389103">
          <w:marLeft w:val="0"/>
          <w:marRight w:val="0"/>
          <w:marTop w:val="24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encoding w:val="unicode"/>
  <w:optimizeForBrowser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테마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맑은 고딕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맑은 고딕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4</Pages>
  <Words>1344</Words>
  <Characters>7661</Characters>
  <Application>Microsoft Office Word</Application>
  <DocSecurity>4</DocSecurity>
  <Lines>63</Lines>
  <Paragraphs>17</Paragraphs>
  <ScaleCrop>false</ScaleCrop>
  <Company/>
  <LinksUpToDate>false</LinksUpToDate>
  <CharactersWithSpaces>8988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환경기술인 보유 자격기준 및 법적 근거</dc:title>
  <dc:subject/>
  <dc:creator>GWANGSIK JO</dc:creator>
  <cp:keywords/>
  <dc:description/>
  <cp:lastModifiedBy>GWANGSIK JO</cp:lastModifiedBy>
  <cp:revision>2</cp:revision>
  <dcterms:created xsi:type="dcterms:W3CDTF">2026-07-31T02:26:00Z</dcterms:created>
  <dcterms:modified xsi:type="dcterms:W3CDTF">2026-07-31T02:26:00Z</dcterms:modified>
</cp:coreProperties>
</file>