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허위 계획서로 받은 승인은 신뢰보호의 근거가 되지 못합니다</w:t>
      </w:r>
    </w:p>
    <w:p>
      <w:pPr>
        <w:autoSpaceDN w:val="0"/>
        <w:autoSpaceDE w:val="0"/>
        <w:pStyle w:val="law1"/>
        <w:spacing w:after="160"/>
      </w:pPr>
      <w:r>
        <w:rPr>
          <w:rFonts w:ascii="맑은 고딕" w:hAnsi="맑은 고딕" w:eastAsia="맑은 고딕" w:cs="맑은 고딕"/>
          <w:color w:val="000000"/>
        </w:rPr>
        <w:t>대법원 2019두51499 (2020.04.09 선고)</w:t>
      </w:r>
    </w:p>
    <w:p>
      <w:pPr>
        <w:autoSpaceDN w:val="0"/>
        <w:autoSpaceDE w:val="0"/>
        <w:spacing w:after="120"/>
      </w:pPr>
      <w:r>
        <w:rPr>
          <w:rFonts w:ascii="맑은 고딕" w:hAnsi="맑은 고딕" w:eastAsia="맑은 고딕" w:cs="맑은 고딕"/>
          <w:color w:val="000000"/>
        </w:rPr>
        <w:t>○ 준농림지역에서 공장설립 변경승인을 받아 16년간 운영해 온 아스콘 공장에서 특정대기유해물질이 검출되자 폐쇄명령이 내려진 사건입니다. 대법원은 아스콘 공장은 그 설립 당시부터 특정대기유해물질 배출시설이었고, 원고가 허위·부실한 계획서를 제출하여 행정청의 착오를 유발한 이상 신뢰보호원칙·자기구속 법리·실효의 원칙을 주장할 수 없다고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공장설립 승인을 받았으면 대기배출시설 허가도 받은 것으로 되나요?</w:t>
            </w:r>
          </w:p>
          <w:p>
            <w:pPr>
              <w:autoSpaceDN w:val="0"/>
              <w:autoSpaceDE w:val="0"/>
            </w:pPr>
            <w:r>
              <w:rPr>
                <w:rFonts w:ascii="맑은 고딕" w:hAnsi="맑은 고딕" w:eastAsia="맑은 고딕" w:cs="맑은 고딕"/>
                <w:color w:val="000000"/>
                <w:sz w:val="19"/>
              </w:rPr>
              <w:t>A. 아닙니다. 여러 개별법령의 인허가 제도가 고유한 목적과 요건을 규율하고 있다면 각각 모두 적용되어야 하고, 어느 하나의 절차를 거쳤다고 다른 절차가 면제되지 않습니다.</w:t>
            </w:r>
          </w:p>
          <w:p>
            <w:pPr>
              <w:autoSpaceDN w:val="0"/>
              <w:autoSpaceDE w:val="0"/>
            </w:pPr>
          </w:p>
          <w:p>
            <w:pPr>
              <w:autoSpaceDN w:val="0"/>
              <w:autoSpaceDE w:val="0"/>
            </w:pPr>
            <w:r>
              <w:rPr>
                <w:rFonts w:ascii="맑은 고딕" w:hAnsi="맑은 고딕" w:eastAsia="맑은 고딕" w:cs="맑은 고딕"/>
                <w:b/>
                <w:color w:val="000000"/>
                <w:sz w:val="19"/>
              </w:rPr>
              <w:t>Q. 아스콘 공장은 언제부터 특정대기유해물질 배출시설인가요?</w:t>
            </w:r>
          </w:p>
          <w:p>
            <w:pPr>
              <w:autoSpaceDN w:val="0"/>
              <w:autoSpaceDE w:val="0"/>
            </w:pPr>
            <w:r>
              <w:rPr>
                <w:rFonts w:ascii="맑은 고딕" w:hAnsi="맑은 고딕" w:eastAsia="맑은 고딕" w:cs="맑은 고딕"/>
                <w:color w:val="000000"/>
                <w:sz w:val="19"/>
              </w:rPr>
              <w:t>A. 특별히 정제된 원료나 특별한 최신 공법을 적용한다는 예외적 사정이 없는 한, 아스콘 공장은 설립 당시부터 특정대기유해물질 배출시설로 볼 수밖에 없습니다.</w:t>
            </w:r>
          </w:p>
          <w:p>
            <w:pPr>
              <w:autoSpaceDN w:val="0"/>
              <w:autoSpaceDE w:val="0"/>
            </w:pPr>
          </w:p>
          <w:p>
            <w:pPr>
              <w:autoSpaceDN w:val="0"/>
              <w:autoSpaceDE w:val="0"/>
            </w:pPr>
            <w:r>
              <w:rPr>
                <w:rFonts w:ascii="맑은 고딕" w:hAnsi="맑은 고딕" w:eastAsia="맑은 고딕" w:cs="맑은 고딕"/>
                <w:b/>
                <w:color w:val="000000"/>
                <w:sz w:val="19"/>
              </w:rPr>
              <w:t>Q. 행정청이 오랫동안 문제 삼지 않았으면 신뢰가 보호되지 않나요?</w:t>
            </w:r>
          </w:p>
          <w:p>
            <w:pPr>
              <w:autoSpaceDN w:val="0"/>
              <w:autoSpaceDE w:val="0"/>
            </w:pPr>
            <w:r>
              <w:rPr>
                <w:rFonts w:ascii="맑은 고딕" w:hAnsi="맑은 고딕" w:eastAsia="맑은 고딕" w:cs="맑은 고딕"/>
                <w:color w:val="000000"/>
                <w:sz w:val="19"/>
              </w:rPr>
              <w:t>A. 그 착오를 사업자가 유발한 경우에는 보호가치가 없습니다. 위법 상태를 적시에 인지하지 못하여 장기간 운영해 왔더라도 공장 존속을 주장할 정당한 사유가 되지 않습니다.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2019두51499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2020.04.09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주식회사 ○○○ · 피고 용인시장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(폐쇄명령처분취소청구의소)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서울고법 2018누69808 (2019. 9. 6.)</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상고기각 (원심 확정)</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1993. 10.경 용인시 처인구의 이 사건 토지에서 레미콘 공장을 설립하여 운영하던 중, 아스콘 공장을 추가로 설립하기 위하여 2001. 5. 4. 피고로부터 구 공업배치법에 따른 공장설립 변경승인을 받았다.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2002. 5. 29. 피고에게 대기오염물질 배출시설 설치 변경신고를 마쳤는데, 그 내용은 연료사용량 증가로 5종 사업장에서 4종 사업장으로 변경된다는 것일 뿐 특정대기유해물질의 배출에 관한 내용은 누락되어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공장 설립 당시 원고는 이 사건 공장에서 특정대기유해물질은 배출되지 않고 토석의 저장·혼합 및 연료 사용에 따라 먼지와 배기가스만 배출될 것이라는 전제에서 배출시설 및 방지시설 설치 계획서를 제출하였다.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 사건 토지는 공장 설립 당시 구 국토이용관리법상 ‘준농림지역’이었다가 2003. 1. 22.경 국토계획법상 ‘자연녹지지역’으로 변경되었다.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피고가 의뢰한 2017. 3. 16. 1차 배출검사에서 벤젠 0.017ppm, 포름알데히드 0.245ppm, 아세트알데히드 0.488ppm이, 2018. 5. 4. 2차 배출검사에서도 포름알데히드 1.423ppm, 아세트알데히드 0.220ppm이 검출되었다.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피고는 2018. 5. 18. 자연녹지지역 안에서 허가받지 않은 특정대기유해물질 배출시설을 설치·운영하였다는 사유로 대기환경보전법 제38조 단서에 따라 폐쇄명령을 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준농림지역 안에서 특정대기유해물질 배출시설의 설치를 금지한 구 국토이용관리법 시행령 규정이 위헌·무효인지 여부, 처분 당시를 기준으로 폐쇄명령의 처분사유가 존재하는지 여부, 그리고 이 사건 처분이 신뢰보호원칙, 행정의 자기구속 법리, 실효의 원칙에 위배되는지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이 사건 종전 규정이 위헌·무효가 아니고, 설립 당시 관계 법령상 준농림지역 안에서 특정대기유해물질이 발생되는 이 사건 공장의 설치는 금지되어 있었으며, 이 사건 공장은 폐쇄명령의 대상에 해당하고, 이 사건 처분이 신뢰보호원칙 등에 위배되지 않는다고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대법원의 판단 원심의 판단은 정당하고, 거기에 상고이유 주장과 같은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준농림지역 안에서 특정대기유해물질 배출시설의 설치를 금지한 것은 목적의 정당성과 수단의 적합성이 인정되고, 모든 지역이 아니라 준농림지역에 한하여 특정 용도만을 제한하는 것이므로 피해의 최소성과 법익의 균형성도 충족하여 과잉금지원칙에 위반되지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아스콘의 원료인 아스팔트는 석유를 증류하고 남은 찌꺼기로서 인체에 유해한 다방향족 탄화수소 등이 다수 포함되어 있고, 아스콘 제조공정에서 다량의 석유화합물이 배출되리라는 점은 일반인의 상식으로도 쉽게 예상할 수 있다. 따라서 예외적 사정이 없는 한 아스콘 공장은 특정대기유해물질 배출시설이라고 볼 수밖에 없고, 실제 1·2차 배출검사에서도 특정대기유해물질이 검출되었으므로 이 사건 공장은 설립 당시부터 특정대기유해물질 배출시설이었다.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여러 개별법령의 인허가 제도가 고유한 목적, 취지, 다른 요건을 규율하고 있다면 각각의 인허가 제도가 모두 적용되어야 하고, 그중 어느 하나의 인허가절차를 거쳤다고 하여 다른 인허가절차가 면제되지 않는다. 공장설립 변경승인이 유효하더라도 별도로 특정대기유해물질 배출시설 설치허가를 받아야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그런데 이 사건 토지에서는 특정대기유해물질 배출시설의 설치가 금지되어 있었으므로 ‘다른 법령에 의한 배출시설의 설치제한에 관한 규정에 위반되지 아니할 것’이라는 허가기준을 충족할 수 없어 설치허가가 불가능하였고, 원고가 한 변경신고는 특정대기유해물질 배출에 관한 내용이 누락되어 있어 이를 운영할 법적 지위를 부여받은 것이 아니다.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처분 당시 이 사건 토지는 자연녹지지역으로서 이 사건 공장은 국토계획법 시행령 [별표 17]에 의하여 설치가 금지되어 있으므로, 대기환경보전법 제38조 단서에 따른 필요적 폐쇄명령의 대상이고 피고에게 재량이 있다고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원고가 허위이거나 부실한 계획서를 제출하여 피고의 착오를 유발한 이상, 피고에게 과실이 있더라도 특정대기유해물질 관련 규제가 적용되지 않으리라는 원고의 기대는 보호가치가 있다고 할 수 없고, 피고가 위법 상태를 적시에 인지하지 못하여 원고가 장기간 공장을 운영해 왔더라도 그것이 공장 존속을 주장할 정당한 사유는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이에 상고를 기각한다.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u w:val="single"/>
        </w:rPr>
        <w:t>① 구 국토이용관리법 시행령 제14조 제1항 제1호에 따르면, 준농림지역 안에서는 특정대기유해물질 배출시설의 설치가 금지되었기 때문에, 그 범위에서 특정대기유해물질이 발생하는 공장시설을 설치하여 운영하려는 자의 직업수행의 자유, 준농림지역 안에서 토지나 건물을 소유하고 있는 자의 재산권이 제한받을 수 있다. 그러나 위 규정이 헌법 제37조 제2항의 과잉금지원칙을 위반하였다고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공장설립 당시에 甲 회사가 위 공장에서 특정대기유해물질은 배출되지 않고 토석의 저장·혼합 및 연료 사용에 따라 먼지와 배기가스만 배출될 것이라는 전제에서 허위이거나 부실한 배출시설 및 방지시설 설치 계획서를 제출하였으므로 시장이 만연히 甲 회사의 계획서를 그대로 믿은 데에 과실이 있더라도, 시장의 착오는 甲 회사가 유발한 것이므로, 위 공장에 대하여 특정대기유해물질 관련 규제가 적용되지 않으리라는 甲 회사의 기대는 보호가치가 없다.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N w:val="0"/>
              <w:autoSpaceDE w:val="0"/>
            </w:pPr>
            <w:r>
              <w:rPr>
                <w:rFonts w:ascii="맑은 고딕" w:hAnsi="맑은 고딕" w:eastAsia="맑은 고딕" w:cs="맑은 고딕"/>
                <w:color w:val="000000"/>
                <w:sz w:val="19"/>
              </w:rPr>
              <w:t>‘특정대기유해물질’이란 유해성대기감시물질 중 저농도에서도 장기적인 섭취나 노출에 의하여 사람의 건강이나 동식물의 생육에 위해를 끼칠 수 있어 대기 배출에 대한 관리가 필요하다고 인정된 물질로서 기후에너지환경부령으로 정하는 것을 말한다.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시·도지사의 허가를 받거나 시·도지사에게 신고하여야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제7항 제2호</w:t>
            </w:r>
          </w:p>
        </w:tc>
        <w:tc>
          <w:tcPr>
            <w:tcW w:type="pct" w:w="3500"/>
          </w:tcPr>
          <w:p>
            <w:pPr>
              <w:autoSpaceDN w:val="0"/>
              <w:autoSpaceDE w:val="0"/>
            </w:pPr>
            <w:r>
              <w:rPr>
                <w:rFonts w:ascii="맑은 고딕" w:hAnsi="맑은 고딕" w:eastAsia="맑은 고딕" w:cs="맑은 고딕"/>
                <w:color w:val="000000"/>
                <w:sz w:val="19"/>
              </w:rPr>
              <w:t>허가 또는 변경허가의 기준으로 ‘다른 법률에 따른 배출시설 설치제한에 관한 규정을 위반하지 아니할 것’을 정하고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단서</w:t>
            </w:r>
          </w:p>
        </w:tc>
        <w:tc>
          <w:tcPr>
            <w:tcW w:type="pct" w:w="3500"/>
          </w:tcPr>
          <w:p>
            <w:pPr>
              <w:autoSpaceDN w:val="0"/>
              <w:autoSpaceDE w:val="0"/>
            </w:pPr>
            <w:r>
              <w:rPr>
                <w:rFonts w:ascii="맑은 고딕" w:hAnsi="맑은 고딕" w:eastAsia="맑은 고딕" w:cs="맑은 고딕"/>
                <w:color w:val="000000"/>
                <w:sz w:val="19"/>
              </w:rPr>
              <w:t>그 배출시설을 개선하거나 방지시설을 설치·개선하더라도 배출허용기준 이하로 내려갈 가능성이 없다고 인정되는 경우 또는 그 설치장소가 다른 법률에 따라 그 배출시설의 설치가 금지된 경우에는 그 배출시설의 폐쇄를 명하여야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제76조 제1항</w:t>
            </w:r>
          </w:p>
        </w:tc>
        <w:tc>
          <w:tcPr>
            <w:tcW w:type="pct" w:w="3500"/>
          </w:tcPr>
          <w:p>
            <w:pPr>
              <w:autoSpaceDN w:val="0"/>
              <w:autoSpaceDE w:val="0"/>
            </w:pPr>
            <w:r>
              <w:rPr>
                <w:rFonts w:ascii="맑은 고딕" w:hAnsi="맑은 고딕" w:eastAsia="맑은 고딕" w:cs="맑은 고딕"/>
                <w:color w:val="000000"/>
                <w:sz w:val="19"/>
              </w:rPr>
              <w:t>용도지역에서의 건축물이나 그 밖의 시설의 용도·종류 및 규모 등의 제한에 관한 사항은 대통령령으로 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제71조 제1항 [별표 17]</w:t>
            </w:r>
          </w:p>
        </w:tc>
        <w:tc>
          <w:tcPr>
            <w:tcW w:type="pct" w:w="3500"/>
          </w:tcPr>
          <w:p>
            <w:pPr>
              <w:autoSpaceDN w:val="0"/>
              <w:autoSpaceDE w:val="0"/>
            </w:pPr>
            <w:r>
              <w:rPr>
                <w:rFonts w:ascii="맑은 고딕" w:hAnsi="맑은 고딕" w:eastAsia="맑은 고딕" w:cs="맑은 고딕"/>
                <w:color w:val="000000"/>
                <w:sz w:val="19"/>
              </w:rPr>
              <w:t>자연녹지지역 안에서 건축할 수 없는 건축물을 정하고 있으며, 특정대기유해물질이 기준 이상으로 배출되는 공장의 설치를 금지하고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https://www.law.go.kr/판례/(2019두51499)</w:t>
      </w:r>
    </w:p>
    <w:p>
      <w:pPr>
        <w:autoSpaceDN w:val="0"/>
        <w:autoSpaceDE w:val="0"/>
        <w:spacing w:before="80"/>
      </w:pPr>
      <w:r>
        <w:rPr>
          <w:rFonts w:ascii="맑은 고딕" w:hAnsi="맑은 고딕" w:eastAsia="맑은 고딕" w:cs="맑은 고딕"/>
          <w:color w:val="000000"/>
          <w:sz w:val="18"/>
        </w:rPr>
        <w:t>태그  #대기환경보전법 #특정대기유해물질 #폐쇄명령 #아스콘 #신뢰보호원칙 #자연녹지지역 #행정판례 #대법원판례 #2020년판례 #2019두51499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