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N w:val="0"/>
        <w:autoSpaceDE w:val="0"/>
        <w:spacing w:after="60"/>
      </w:pPr>
      <w:r>
        <w:rPr>
          <w:rFonts w:ascii="맑은 고딕" w:hAnsi="맑은 고딕" w:eastAsia="맑은 고딕" w:cs="맑은 고딕"/>
          <w:b/>
          <w:color w:val="000000"/>
          <w:sz w:val="30"/>
        </w:rPr>
        <w:t>특별대책지역의 소각시설 증설 제한은 적법할 수 있습니다</w:t>
      </w:r>
    </w:p>
    <w:p>
      <w:pPr>
        <w:autoSpaceDN w:val="0"/>
        <w:autoSpaceDE w:val="0"/>
        <w:pStyle w:val="law1"/>
        <w:spacing w:after="160"/>
      </w:pPr>
      <w:r>
        <w:rPr>
          <w:rFonts w:ascii="맑은 고딕" w:hAnsi="맑은 고딕" w:eastAsia="맑은 고딕" w:cs="맑은 고딕"/>
          <w:color w:val="000000"/>
        </w:rPr>
        <w:t>대법원 2021두33593 (2021.07.29 선고)</w:t>
      </w:r>
    </w:p>
    <w:p>
      <w:pPr>
        <w:autoSpaceDN w:val="0"/>
        <w:autoSpaceDE w:val="0"/>
        <w:spacing w:after="120"/>
      </w:pPr>
      <w:r>
        <w:rPr>
          <w:rFonts w:ascii="맑은 고딕" w:hAnsi="맑은 고딕" w:eastAsia="맑은 고딕" w:cs="맑은 고딕"/>
          <w:color w:val="000000"/>
        </w:rPr>
        <w:t>○ 대기보전특별대책지역인 국가산업단지에서 사업장폐기물 소각시설을 증설하기 위한 산업단지개발계획 변경신청이 거부된 사건입니다. 대법원은 어차피 대기환경보전법상 설치제한 대상이 될 시설임을 미리 고려한 행정청의 판단이 현저히 불합리하지 않고, 형평 위반도 아니라고 보아 원심을 파기하였습니다.</w:t>
      </w:r>
    </w:p>
    <w:p>
      <w:pPr>
        <w:autoSpaceDN w:val="0"/>
        <w:autoSpaceDE w:val="0"/>
      </w:pPr>
    </w:p>
    <w:p>
      <w:pPr>
        <w:autoSpaceDN w:val="0"/>
        <w:autoSpaceDE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21"/>
              </w:rPr>
              <w:t>※ 간단요약</w:t>
            </w:r>
          </w:p>
        </w:tc>
      </w:tr>
      <w:tr>
        <w:tc>
          <w:tcPr>
            <w:tcW w:type="pct" w:w="5000"/>
            <w:shd w:val="clear" w:color="auto" w:fill="F7F7F7"/>
          </w:tcPr>
          <w:p>
            <w:pPr>
              <w:autoSpaceDN w:val="0"/>
              <w:autoSpaceDE w:val="0"/>
            </w:pPr>
            <w:r>
              <w:rPr>
                <w:rFonts w:ascii="맑은 고딕" w:hAnsi="맑은 고딕" w:eastAsia="맑은 고딕" w:cs="맑은 고딕"/>
                <w:b/>
                <w:color w:val="000000"/>
                <w:sz w:val="19"/>
              </w:rPr>
              <w:t>Q. 특별대책지역에서는 어떤 배출시설의 설치가 제한되나요?</w:t>
            </w:r>
          </w:p>
          <w:p>
            <w:pPr>
              <w:autoSpaceDN w:val="0"/>
              <w:autoSpaceDE w:val="0"/>
            </w:pPr>
            <w:r>
              <w:rPr>
                <w:rFonts w:ascii="맑은 고딕" w:hAnsi="맑은 고딕" w:eastAsia="맑은 고딕" w:cs="맑은 고딕"/>
                <w:color w:val="000000"/>
                <w:sz w:val="19"/>
              </w:rPr>
              <w:t>A. 먼지·황산화물 및 질소산화물의 발생량 합계가 연간 10톤 이상인 배출시설을 특별대책지역에 설치하는 경우 설치를 제한할 수 있습니다.</w:t>
            </w:r>
          </w:p>
          <w:p>
            <w:pPr>
              <w:autoSpaceDN w:val="0"/>
              <w:autoSpaceDE w:val="0"/>
            </w:pPr>
          </w:p>
          <w:p>
            <w:pPr>
              <w:autoSpaceDN w:val="0"/>
              <w:autoSpaceDE w:val="0"/>
            </w:pPr>
            <w:r>
              <w:rPr>
                <w:rFonts w:ascii="맑은 고딕" w:hAnsi="맑은 고딕" w:eastAsia="맑은 고딕" w:cs="맑은 고딕"/>
                <w:b/>
                <w:color w:val="000000"/>
                <w:sz w:val="19"/>
              </w:rPr>
              <w:t>Q. 산업단지개발계획 변경 단계에서 뒤의 배출시설 설치허가 가능성을 미리 고려해도 되나요?</w:t>
            </w:r>
          </w:p>
          <w:p>
            <w:pPr>
              <w:autoSpaceDN w:val="0"/>
              <w:autoSpaceDE w:val="0"/>
            </w:pPr>
            <w:r>
              <w:rPr>
                <w:rFonts w:ascii="맑은 고딕" w:hAnsi="맑은 고딕" w:eastAsia="맑은 고딕" w:cs="맑은 고딕"/>
                <w:color w:val="000000"/>
                <w:sz w:val="19"/>
              </w:rPr>
              <w:t>A. 됩니다. 최종적으로 설치허가를 받기 어렵다는 점을 미리 고려한 행정청의 결정이 현저히 불합리하다고 보기 어렵습니다.</w:t>
            </w:r>
          </w:p>
          <w:p>
            <w:pPr>
              <w:autoSpaceDN w:val="0"/>
              <w:autoSpaceDE w:val="0"/>
            </w:pPr>
          </w:p>
          <w:p>
            <w:pPr>
              <w:autoSpaceDN w:val="0"/>
              <w:autoSpaceDE w:val="0"/>
            </w:pPr>
            <w:r>
              <w:rPr>
                <w:rFonts w:ascii="맑은 고딕" w:hAnsi="맑은 고딕" w:eastAsia="맑은 고딕" w:cs="맑은 고딕"/>
                <w:b/>
                <w:color w:val="000000"/>
                <w:sz w:val="19"/>
              </w:rPr>
              <w:t>Q. 인근 동종 업체는 증설을 허용해 줬는데 형평에 반하지 않나요?</w:t>
            </w:r>
          </w:p>
          <w:p>
            <w:pPr>
              <w:autoSpaceDN w:val="0"/>
              <w:autoSpaceDE w:val="0"/>
            </w:pPr>
            <w:r>
              <w:rPr>
                <w:rFonts w:ascii="맑은 고딕" w:hAnsi="맑은 고딕" w:eastAsia="맑은 고딕" w:cs="맑은 고딕"/>
                <w:color w:val="000000"/>
                <w:sz w:val="19"/>
              </w:rPr>
              <w:t>A. 특정 업체의 증설을 허용했다고 하여 반드시 주변 동종 업체에도 같은 혜택을 주어야 한다고 보면 산업단지개발계획 제도가 유명무실해질 수 있으므로, 형평의 원칙에 뚜렷하게 반한다고 보기 어렵습니다.</w:t>
            </w:r>
          </w:p>
        </w:tc>
      </w:tr>
    </w:tbl>
    <w:p>
      <w:pPr>
        <w:autoSpaceDN w:val="0"/>
        <w:autoSpaceDE w:val="0"/>
      </w:pPr>
    </w:p>
    <w:p>
      <w:pPr>
        <w:autoSpaceDN w:val="0"/>
        <w:autoSpaceDE w:val="0"/>
      </w:pPr>
    </w:p>
    <w:p>
      <w:pPr>
        <w:autoSpaceDN w:val="0"/>
        <w:autoSpaceDE w:val="0"/>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N w:val="0"/>
              <w:autoSpaceDE w:val="0"/>
            </w:pPr>
            <w:r>
              <w:rPr>
                <w:rFonts w:ascii="맑은 고딕" w:hAnsi="맑은 고딕" w:eastAsia="맑은 고딕" w:cs="맑은 고딕"/>
                <w:b/>
                <w:color w:val="000000"/>
                <w:sz w:val="19"/>
              </w:rPr>
              <w:t>사건번호</w:t>
            </w:r>
          </w:p>
        </w:tc>
        <w:tc>
          <w:tcPr>
            <w:tcW w:type="pct" w:w="3800"/>
          </w:tcPr>
          <w:p>
            <w:pPr>
              <w:autoSpaceDN w:val="0"/>
              <w:autoSpaceDE w:val="0"/>
            </w:pPr>
            <w:r>
              <w:rPr>
                <w:rFonts w:ascii="맑은 고딕" w:hAnsi="맑은 고딕" w:eastAsia="맑은 고딕" w:cs="맑은 고딕"/>
                <w:color w:val="000000"/>
                <w:sz w:val="19"/>
              </w:rPr>
              <w:t>2021두33593</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선고일자</w:t>
            </w:r>
          </w:p>
        </w:tc>
        <w:tc>
          <w:tcPr>
            <w:tcW w:type="pct" w:w="3800"/>
          </w:tcPr>
          <w:p>
            <w:pPr>
              <w:autoSpaceDN w:val="0"/>
              <w:autoSpaceDE w:val="0"/>
            </w:pPr>
            <w:r>
              <w:rPr>
                <w:rFonts w:ascii="맑은 고딕" w:hAnsi="맑은 고딕" w:eastAsia="맑은 고딕" w:cs="맑은 고딕"/>
                <w:color w:val="000000"/>
                <w:sz w:val="19"/>
              </w:rPr>
              <w:t>2021.07.29</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법원</w:t>
            </w:r>
          </w:p>
        </w:tc>
        <w:tc>
          <w:tcPr>
            <w:tcW w:type="pct" w:w="3800"/>
          </w:tcPr>
          <w:p>
            <w:pPr>
              <w:autoSpaceDN w:val="0"/>
              <w:autoSpaceDE w:val="0"/>
            </w:pPr>
            <w:r>
              <w:rPr>
                <w:rFonts w:ascii="맑은 고딕" w:hAnsi="맑은 고딕" w:eastAsia="맑은 고딕" w:cs="맑은 고딕"/>
                <w:color w:val="000000"/>
                <w:sz w:val="19"/>
              </w:rPr>
              <w:t>대법원</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당사자</w:t>
            </w:r>
          </w:p>
        </w:tc>
        <w:tc>
          <w:tcPr>
            <w:tcW w:type="pct" w:w="3800"/>
          </w:tcPr>
          <w:p>
            <w:pPr>
              <w:autoSpaceDN w:val="0"/>
              <w:autoSpaceDE w:val="0"/>
            </w:pPr>
            <w:r>
              <w:rPr>
                <w:rFonts w:ascii="맑은 고딕" w:hAnsi="맑은 고딕" w:eastAsia="맑은 고딕" w:cs="맑은 고딕"/>
                <w:color w:val="000000"/>
                <w:sz w:val="19"/>
              </w:rPr>
              <w:t>원고 주식회사 ○○○ · 피고 울산광역시장</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사건종류</w:t>
            </w:r>
          </w:p>
        </w:tc>
        <w:tc>
          <w:tcPr>
            <w:tcW w:type="pct" w:w="3800"/>
          </w:tcPr>
          <w:p>
            <w:pPr>
              <w:autoSpaceDN w:val="0"/>
              <w:autoSpaceDE w:val="0"/>
            </w:pPr>
            <w:r>
              <w:rPr>
                <w:rFonts w:ascii="맑은 고딕" w:hAnsi="맑은 고딕" w:eastAsia="맑은 고딕" w:cs="맑은 고딕"/>
                <w:color w:val="000000"/>
                <w:sz w:val="19"/>
              </w:rPr>
              <w:t>일반행정 (산업단지개발계획변경신청거부처분취소청구의소)</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원심</w:t>
            </w:r>
          </w:p>
        </w:tc>
        <w:tc>
          <w:tcPr>
            <w:tcW w:type="pct" w:w="3800"/>
          </w:tcPr>
          <w:p>
            <w:pPr>
              <w:autoSpaceDN w:val="0"/>
              <w:autoSpaceDE w:val="0"/>
            </w:pPr>
            <w:r>
              <w:rPr>
                <w:rFonts w:ascii="맑은 고딕" w:hAnsi="맑은 고딕" w:eastAsia="맑은 고딕" w:cs="맑은 고딕"/>
                <w:color w:val="000000"/>
                <w:sz w:val="19"/>
              </w:rPr>
              <w:t>부산고법 2020누22282 (2021. 1. 13.)</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결과</w:t>
            </w:r>
          </w:p>
        </w:tc>
        <w:tc>
          <w:tcPr>
            <w:tcW w:type="pct" w:w="3800"/>
          </w:tcPr>
          <w:p>
            <w:pPr>
              <w:autoSpaceDN w:val="0"/>
              <w:autoSpaceDE w:val="0"/>
            </w:pPr>
            <w:r>
              <w:rPr>
                <w:rFonts w:ascii="맑은 고딕" w:hAnsi="맑은 고딕" w:eastAsia="맑은 고딕" w:cs="맑은 고딕"/>
                <w:color w:val="000000"/>
                <w:sz w:val="19"/>
              </w:rPr>
              <w:t>원심 파기환송</w:t>
            </w:r>
          </w:p>
        </w:tc>
      </w:tr>
    </w:tbl>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2. 사실관계</w:t>
      </w:r>
    </w:p>
    <w:p>
      <w:pPr>
        <w:autoSpaceDN w:val="0"/>
        <w:autoSpaceDE w:val="0"/>
      </w:pPr>
      <w:r>
        <w:rPr>
          <w:rFonts w:ascii="맑은 고딕" w:hAnsi="맑은 고딕" w:eastAsia="맑은 고딕" w:cs="맑은 고딕"/>
          <w:color w:val="000000"/>
        </w:rPr>
        <w:t>① 원고는 울산·미포 국가산업단지에 입주한 폐기물처리업체이고, 피고는 국토교통부장관으로부터 국가산업단지의 산업단지개발계획 변경 권한을 위임받은 행정청이다.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피고는 2019. 3. 14. 다른 폐기물처리업체인 ○○○의 신청을 받아들여 사업장폐기물 소각시설 1기(1일 소각량 206t)를 증설할 수 있도록 산업단지개발계획을 변경하였다.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원고는 2019. 3. 19. 피고에게 사업장폐기물 소각시설 1기(1일 소각량 163t)를 증설하기 위한 산업단지개발계획 변경신청을 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피고는 2019. 5. 8. ‘국가산업단지 대기보전특별대책지역 대기배출시설(소각시설) 설치 제한 검토 보고서’를 작성하여 관할구역 내 사업장폐기물 소각시설 증설을 제한하기로 결정하고, 2019. 5. 16. 원고의 신청을 거부하였다.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원고는 2019. 8. 9. 질소산화물 저감장치와 굴뚝원격감시체계를 설치하겠다고 밝히며 환경성검토서를 제출하여 다시 변경신청을 하였으나, 피고는 2019. 9. 6. 소각 과정에서 다이옥신 등 특정대기유해물질이 배출된다는 사유를 추가하여 이를 거부하였다.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⑥ 원심은 초미세먼지 농도 추이, 원고의 방지대책, 사후 규제 가능성, ○○○ 사례와의 형평 등을 이유로 이 사건 처분에 재량권을 일탈·남용한 위법이 있다고 판단하였다.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3. 쟁점</w:t>
      </w:r>
    </w:p>
    <w:p>
      <w:pPr>
        <w:autoSpaceDN w:val="0"/>
        <w:autoSpaceDE w:val="0"/>
      </w:pPr>
      <w:r>
        <w:rPr>
          <w:rFonts w:ascii="맑은 고딕" w:hAnsi="맑은 고딕" w:eastAsia="맑은 고딕" w:cs="맑은 고딕"/>
          <w:color w:val="000000"/>
          <w:u w:val="single"/>
        </w:rPr>
        <w:t>이 사건의 쟁점은, 산업단지개발계획 변경 여부 결정에 행정계획에 관한 형성의 재량과 이익형량 법리가 적용되는지 여부와, 환경오염 우려를 처분사유로 하는 변경신청 거부처분에 대한 재량권 일탈·남용의 심사 방법 및 증명책임의 소재이다.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4. 판단</w:t>
      </w:r>
    </w:p>
    <w:p>
      <w:pPr>
        <w:autoSpaceDN w:val="0"/>
        <w:autoSpaceDE w:val="0"/>
      </w:pPr>
      <w:r>
        <w:rPr>
          <w:rFonts w:ascii="맑은 고딕" w:hAnsi="맑은 고딕" w:eastAsia="맑은 고딕" w:cs="맑은 고딕"/>
          <w:b/>
          <w:color w:val="000000"/>
          <w:u w:val="single"/>
        </w:rPr>
        <w:t>① 원심의 판단 원심은 초미세먼지 농도가 큰 변동 없이 유지되어 온 점, 원고가 질소산화물 저감장치 등 대책을 제시한 점, 사후에 배출시설 설치허가 단계에서 저감 대책을 요구할 수 있는 점, ○○○ 사례와 비교하여 형평에 반하는 점 등을 이유로 이 사건 처분에 재량권을 일탈·남용한 위법이 있다고 판단하였다.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대법원의 판단 그러나 원심의 판단은 다음과 같은 이유로 수긍하기 어렵다.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③ 행정청은 구체적인 행정계획을 입안·결정할 때 비교적 광범위한 형성의 재량을 가지되, 관련되는 자들의 이익을 정당하게 비교·교량하여야 하는 제한이 있고, 이러한 법리는 산업단지개발계획 변경 여부를 결정하는 경우에도 마찬가지로 적용된다.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④ 환경 훼손·오염 우려를 처분사유로 하는 변경신청 거부처분과 관련하여 재량권의 일탈·남용 여부를 심사할 때에는 산업입지법의 입법 취지와 목적, 구체적 지역 상황, 환경권 보호에 관한 각종 규정의 입법 취지 및 이해관계자들 사이의 권익 균형 등을 종합하여 신중하게 판단하여야 하고, ‘환경오염 발생 우려’와 같이 장래의 불확실한 상황에 대한 예측이 필요한 요건에 관한 재량적 판단은 폭넓게 존중하여야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⑤ 이 사건 산업단지는 대기보전특별대책지역으로 지정되어 있고, 원고 스스로 신청서에서 이 사건 소각시설의 연간 배출량을 먼지 1.67t, 황산화물 10.18t, 질소산화물 29.49t으로 예측하였으므로, 원고가 추후 배출시설 설치허가를 신청할 경우 피고는 설치제한 기준(연간 합계 10t 이상)에 해당한다는 사유로 불허가처분을 할 수 있다. 피고가 이를 미리 고려한 결정이 현저히 불합리하다고 보이지 않는다.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⑥ 환경검토서의 예측도 질소산화물 저감장치의 성능을 최상으로 유지하는 경우를 전제로 한 것이고, 그 예측에 따르더라도 설치제한 기준을 여전히 초과하며, 굴뚝원격감시체계로는 다이옥신·크롬·납·카드뮴 등 특정대기유해물질을 측정할 수 없으므로 원고의 대책이 충분하다고 보기 어렵다.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⑦ 울산광역시 폐기물처리업체의 초미세먼지 배출량이 다른 특별시·광역시보다 많고 초미세먼지 연평균 농도가 환경기준을 초과하는 점, 배출허용총량제 도입을 앞두고 선제적 대책이 필요했던 점에 비추어 소각시설 증설 제한 결정은 적절한 수단의 하나로 보인다.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⑧ ○○○에 대한 변경은 대기관리권역법 제정·공포 전에 이루어진 반면 이 사건 처분은 그 후에 이루어졌고, 특정 업체의 증설 허용이 곧 주변 동종 업체에 대한 동일한 혜택을 강제한다면 산업단지개발계획 제도가 유명무실해질 수 있으므로 형평의 원칙에 뚜렷하게 반한다고 보기 어렵다.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5. 판결요지</w:t>
      </w:r>
    </w:p>
    <w:p>
      <w:pPr>
        <w:autoSpaceDN w:val="0"/>
        <w:autoSpaceDE w:val="0"/>
      </w:pPr>
      <w:r>
        <w:rPr>
          <w:rFonts w:ascii="맑은 고딕" w:hAnsi="맑은 고딕" w:eastAsia="맑은 고딕" w:cs="맑은 고딕"/>
          <w:b/>
          <w:color w:val="000000"/>
          <w:u w:val="single"/>
        </w:rPr>
        <w:t>① 행정청은 구체적인 행정계획을 입안·결정할 때 비교적 광범위한 형성의 재량을 가진다. 다만 행정계획에서는 그에 관련되는 자들의 이익을 공익과 사익 사이에서는 물론이고 공익 사이에서나 사익 사이에서도 정당하게 비교·교량하여야 한다는 제한이 있으므로, 이익형량을 전혀 행하지 아니하거나 이익형량의 고려 대상에 마땅히 포함시켜야 할 사항을 누락한 경우 또는 이익형량을 하였으나 정당성과 객관성이 결여된 경우에는 그 행정계획 결정은 위법하게 될 수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② ‘환경오염 발생 우려’와 같이 장래에 발생할 불확실한 상황과 파급효과에 대한 예측이 필요한 요건에 관한 행정청의 재량적 판단은 그 내용이 현저히 합리성을 결여하였다거나 상반되는 이익이나 가치를 대비해 볼 때 형평이나 비례의 원칙에 뚜렷하게 배치되는 등의 사정이 없는 한 폭넓게 존중하여야 한다. 또한 처분이 재량권을 일탈·남용하였다는 사정은 그 처분의 효력을 다투는 자가 주장·증명하여야 한다.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적용 문구</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제23조 제1항</w:t>
            </w:r>
          </w:p>
        </w:tc>
        <w:tc>
          <w:tcPr>
            <w:tcW w:type="pct" w:w="3500"/>
          </w:tcPr>
          <w:p>
            <w:pPr>
              <w:autoSpaceDN w:val="0"/>
              <w:autoSpaceDE w:val="0"/>
            </w:pPr>
            <w:r>
              <w:rPr>
                <w:rFonts w:ascii="맑은 고딕" w:hAnsi="맑은 고딕" w:eastAsia="맑은 고딕" w:cs="맑은 고딕"/>
                <w:color w:val="000000"/>
                <w:sz w:val="19"/>
              </w:rPr>
              <w:t>배출시설을 설치하려는 자는 대통령령으로 정하는 바에 따라 시·도지사의 허가를 받거나 시·도지사에게 신고하여야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제23조 제8항</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(구 제6항)</w:t>
            </w:r>
          </w:p>
        </w:tc>
        <w:tc>
          <w:tcPr>
            <w:tcW w:type="pct" w:w="3500"/>
          </w:tcPr>
          <w:p>
            <w:pPr>
              <w:autoSpaceDN w:val="0"/>
              <w:autoSpaceDE w:val="0"/>
            </w:pPr>
            <w:r>
              <w:rPr>
                <w:rFonts w:ascii="맑은 고딕" w:hAnsi="맑은 고딕" w:eastAsia="맑은 고딕" w:cs="맑은 고딕"/>
                <w:color w:val="000000"/>
                <w:sz w:val="19"/>
              </w:rPr>
              <w:t>특별대책지역의 배출시설로부터 나오는 대기오염물질로 인하여 환경기준의 유지가 곤란하거나 주민의 건강·재산, 동식물의 생육에 심각한 위해를 끼칠 우려가 있다고 인정되면 대통령령으로 정하는 바에 따라 특별대책지역에서의 배출시설 설치를 제한할 수 있다.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제11조 제1항 제2호</w:t>
            </w:r>
          </w:p>
        </w:tc>
        <w:tc>
          <w:tcPr>
            <w:tcW w:type="pct" w:w="3500"/>
          </w:tcPr>
          <w:p>
            <w:pPr>
              <w:autoSpaceDN w:val="0"/>
              <w:autoSpaceDE w:val="0"/>
            </w:pPr>
            <w:r>
              <w:rPr>
                <w:rFonts w:ascii="맑은 고딕" w:hAnsi="맑은 고딕" w:eastAsia="맑은 고딕" w:cs="맑은 고딕"/>
                <w:color w:val="000000"/>
                <w:sz w:val="19"/>
              </w:rPr>
              <w:t>환경정책기본법 제38조에 따라 지정·고시된 특별대책지역에 설치하는 배출시설은 설치허가를 받아야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제12조 제2호</w:t>
            </w:r>
          </w:p>
        </w:tc>
        <w:tc>
          <w:tcPr>
            <w:tcW w:type="pct" w:w="3500"/>
          </w:tcPr>
          <w:p>
            <w:pPr>
              <w:autoSpaceDN w:val="0"/>
              <w:autoSpaceDE w:val="0"/>
            </w:pPr>
            <w:r>
              <w:rPr>
                <w:rFonts w:ascii="맑은 고딕" w:hAnsi="맑은 고딕" w:eastAsia="맑은 고딕" w:cs="맑은 고딕"/>
                <w:color w:val="000000"/>
                <w:sz w:val="19"/>
              </w:rPr>
              <w:t>대기오염물질(먼지·황산화물 및 질소산화물만 해당한다)의 발생량 합계가 연간 10톤 이상인 배출시설을 특별대책지역에 설치하는 경우 설치를 제한할 수 있다.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대기관리권역의 대기환경개선에 관한 특별법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제15조 제1항</w:t>
            </w:r>
          </w:p>
        </w:tc>
        <w:tc>
          <w:tcPr>
            <w:tcW w:type="pct" w:w="3500"/>
          </w:tcPr>
          <w:p>
            <w:pPr>
              <w:autoSpaceDN w:val="0"/>
              <w:autoSpaceDE w:val="0"/>
            </w:pPr>
            <w:r>
              <w:rPr>
                <w:rFonts w:ascii="맑은 고딕" w:hAnsi="맑은 고딕" w:eastAsia="맑은 고딕" w:cs="맑은 고딕"/>
                <w:color w:val="000000"/>
                <w:sz w:val="19"/>
              </w:rPr>
              <w:t>대기관리권역에서 총량관리대상 오염물질을 대통령령으로 정하는 배출량을 초과하여 배출하는 사업장을 설치하거나 이에 해당하는 사업장으로 변경하려는 자는 기후에너지환경부장관으로부터 사업장설치의 허가를 받아야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산업입지 및 개발에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제17조의2</w:t>
            </w:r>
          </w:p>
        </w:tc>
        <w:tc>
          <w:tcPr>
            <w:tcW w:type="pct" w:w="3500"/>
          </w:tcPr>
          <w:p>
            <w:pPr>
              <w:autoSpaceDN w:val="0"/>
              <w:autoSpaceDE w:val="0"/>
            </w:pPr>
            <w:r>
              <w:rPr>
                <w:rFonts w:ascii="맑은 고딕" w:hAnsi="맑은 고딕" w:eastAsia="맑은 고딕" w:cs="맑은 고딕"/>
                <w:color w:val="000000"/>
                <w:sz w:val="19"/>
              </w:rPr>
              <w:t>국가산업단지개발계획의 변경에 관하여 정하고 있다.</w:t>
            </w:r>
          </w:p>
        </w:tc>
      </w:tr>
    </w:tbl>
    <w:p>
      <w:pPr>
        <w:autoSpaceDN w:val="0"/>
        <w:autoSpaceDE w:val="0"/>
        <w:pStyle w:val="note"/>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autoSpaceDN w:val="0"/>
        <w:autoSpaceDE w:val="0"/>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N w:val="0"/>
        <w:autoSpaceDE w:val="0"/>
        <w:spacing w:before="120"/>
      </w:pPr>
      <w:r>
        <w:rPr>
          <w:rFonts w:ascii="맑은 고딕" w:hAnsi="맑은 고딕" w:eastAsia="맑은 고딕" w:cs="맑은 고딕"/>
          <w:color w:val="000000"/>
          <w:sz w:val="18"/>
        </w:rPr>
        <w:t>원문  https://www.law.go.kr/판례/(2021두33593)</w:t>
      </w:r>
    </w:p>
    <w:p>
      <w:pPr>
        <w:autoSpaceDN w:val="0"/>
        <w:autoSpaceDE w:val="0"/>
        <w:spacing w:before="80"/>
      </w:pPr>
      <w:r>
        <w:rPr>
          <w:rFonts w:ascii="맑은 고딕" w:hAnsi="맑은 고딕" w:eastAsia="맑은 고딕" w:cs="맑은 고딕"/>
          <w:color w:val="000000"/>
          <w:sz w:val="18"/>
        </w:rPr>
        <w:t>태그  #대기환경보전법 #특별대책지역 #배출시설설치제한 #소각시설증설 #총량관리 #산업단지개발계획 #행정판례 #대법원판례 #2021년판례 #2021두33593 #환경법 #환경인허가 #인허가서대리 #서대리</w:t>
      </w:r>
    </w:p>
    <w:p>
      <w:pPr>
        <w:autoSpaceDN w:val="0"/>
        <w:autoSpaceDE w:val="0"/>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