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산업단지 입주계약을 해도 건축허가와 개발행위허가는 따로 받아야 합니다</w:t>
      </w:r>
    </w:p>
    <w:p>
      <w:pPr>
        <w:autoSpaceDN w:val="0"/>
        <w:autoSpaceDE w:val="0"/>
        <w:pStyle w:val="law1"/>
        <w:spacing w:after="160"/>
      </w:pPr>
      <w:r>
        <w:rPr>
          <w:rFonts w:ascii="맑은 고딕" w:hAnsi="맑은 고딕" w:eastAsia="맑은 고딕" w:cs="맑은 고딕"/>
          <w:color w:val="000000"/>
        </w:rPr>
        <w:t>대법원 2021두33883 (2021.06.24 선고)</w:t>
      </w:r>
    </w:p>
    <w:p>
      <w:pPr>
        <w:autoSpaceDN w:val="0"/>
        <w:autoSpaceDE w:val="0"/>
        <w:spacing w:after="120"/>
      </w:pPr>
      <w:r>
        <w:rPr>
          <w:rFonts w:ascii="맑은 고딕" w:hAnsi="맑은 고딕" w:eastAsia="맑은 고딕" w:cs="맑은 고딕"/>
          <w:color w:val="000000"/>
        </w:rPr>
        <w:t>○ 산업단지 입주계약으로 공장설립 승인이 의제된 사업자가 아스콘 공장 건축허가를 신청했으나 환경오염 우려를 이유로 거부된 사건입니다. 대법원은 입주계약으로 공장설립 승인이 의제되더라도 건축허가와 개발행위허가는 별도로 받아야 하고, 환경오염 우려에 관한 행정청의 재량적 판단은 폭넓게 존중되며 재량권 일탈·남용의 증명책임은 이를 다투는 자에게 있다고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산업단지 입주계약을 체결하면 건축허가도 받은 것이 되나요?</w:t>
            </w:r>
          </w:p>
          <w:p>
            <w:pPr>
              <w:autoSpaceDN w:val="0"/>
              <w:autoSpaceDE w:val="0"/>
            </w:pPr>
            <w:r>
              <w:rPr>
                <w:rFonts w:ascii="맑은 고딕" w:hAnsi="맑은 고딕" w:eastAsia="맑은 고딕" w:cs="맑은 고딕"/>
                <w:color w:val="000000"/>
                <w:sz w:val="19"/>
              </w:rPr>
              <w:t>A. 아닙니다. 공장설립 승인이 의제될 뿐이고, 건축법상 건축허가와 국토계획법상 개발행위허가는 별개의 제도이므로 따로 받아야 합니다.</w:t>
            </w:r>
          </w:p>
          <w:p>
            <w:pPr>
              <w:autoSpaceDN w:val="0"/>
              <w:autoSpaceDE w:val="0"/>
            </w:pPr>
          </w:p>
          <w:p>
            <w:pPr>
              <w:autoSpaceDN w:val="0"/>
              <w:autoSpaceDE w:val="0"/>
            </w:pPr>
            <w:r>
              <w:rPr>
                <w:rFonts w:ascii="맑은 고딕" w:hAnsi="맑은 고딕" w:eastAsia="맑은 고딕" w:cs="맑은 고딕"/>
                <w:b/>
                <w:color w:val="000000"/>
                <w:sz w:val="19"/>
              </w:rPr>
              <w:t>Q. 입주계약 당시 아스콘 제조 계획을 밝혔으면 건축허가에 대한 신뢰가 생기나요?</w:t>
            </w:r>
          </w:p>
          <w:p>
            <w:pPr>
              <w:autoSpaceDN w:val="0"/>
              <w:autoSpaceDE w:val="0"/>
            </w:pPr>
            <w:r>
              <w:rPr>
                <w:rFonts w:ascii="맑은 고딕" w:hAnsi="맑은 고딕" w:eastAsia="맑은 고딕" w:cs="맑은 고딕"/>
                <w:color w:val="000000"/>
                <w:sz w:val="19"/>
              </w:rPr>
              <w:t>A. 그렇지 않습니다. 입주계약을 체결하여 공장설립 승인을 받은 것으로 보게 되었더라도 곧바로 건축허가·개발행위허가를 받으리라는 정당한 신뢰를 갖게 된다고 보기 어렵습니다.</w:t>
            </w:r>
          </w:p>
          <w:p>
            <w:pPr>
              <w:autoSpaceDN w:val="0"/>
              <w:autoSpaceDE w:val="0"/>
            </w:pPr>
          </w:p>
          <w:p>
            <w:pPr>
              <w:autoSpaceDN w:val="0"/>
              <w:autoSpaceDE w:val="0"/>
            </w:pPr>
            <w:r>
              <w:rPr>
                <w:rFonts w:ascii="맑은 고딕" w:hAnsi="맑은 고딕" w:eastAsia="맑은 고딕" w:cs="맑은 고딕"/>
                <w:b/>
                <w:color w:val="000000"/>
                <w:sz w:val="19"/>
              </w:rPr>
              <w:t>Q. 사후 규제가 가능하니 일단 허가해야 하는 것 아닌가요?</w:t>
            </w:r>
          </w:p>
          <w:p>
            <w:pPr>
              <w:autoSpaceDN w:val="0"/>
              <w:autoSpaceDE w:val="0"/>
            </w:pPr>
            <w:r>
              <w:rPr>
                <w:rFonts w:ascii="맑은 고딕" w:hAnsi="맑은 고딕" w:eastAsia="맑은 고딕" w:cs="맑은 고딕"/>
                <w:color w:val="000000"/>
                <w:sz w:val="19"/>
              </w:rPr>
              <w:t>A. 환경이 오염되면 원상회복이 거의 불가능한 경우가 많아 사후 규제만으로는 한계가 있으므로, 심각한 오염 우려가 있으면 미리 방지하는 것이 중요합니다.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2021두33883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2021.06.24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울산광역시 울주군수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(건축허가거부처분취소)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부산고법 2020누20439 (2021. 1. 13.)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울산광역시장은 2008. 1. 17. 울산 울주군 일원을 일반산업단지로 지정하여 개발사업을 시행하였고, 2015. 7. 2. 분양비율을 높이기 위하여 7개 입주제한 업종을 제외한 모든 업종이 입주 가능한 ‘유치업종 미지정 지역’을 두는 것으로 산업단지계획을 변경하였다.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위 유치업종 미지정 지역에 있는 이 사건 공장부지에서 아스콘 공장을 운영하기 위하여 2016. 7. 15. 관리기관인 울산광역시장과 산업집적법에 따른 입주계약을 체결하였다. 이 사건 공장부지는 국토계획법상 일반공업지역에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2018. 1. 17. 건축행정청인 피고에게 이 사건 공장부지에 아스콘 공장(건축면적 2,174.9㎡)을 신축하기 위한 건축허가를 신청하였다.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2018. 2. 1. 공장부지 인근에 주거지역과 울산 시민의 식수원인 태화강 상류가 있고 아스콘 제조업의 특성상 비산먼지·수질오염·소음 등 환경 문제가 발생할 수 있다는 등의 사유로 건축 불허가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원심은 울산광역시장이 작성한 환경보전방안, 원고의 환경오염 방지대책, 공장부지와 주거지역 사이의 국도·방음벽, 사후 제재수단의 존재 등을 이유로 이 사건 처분에 재량권을 일탈·남용한 위법이 있다고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산업단지 입주계약 체결로 공장설립 승인이 의제되는 경우에도 건축허가와 개발행위허가를 별도로 받아야 하는지 여부와, 환경오염 우려를 처분사유로 하는 불허가처분에 대한 재량권 일탈·남용의 심사 방법 및 그 증명책임의 소재이다.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환경보전방안의 예측 내용, 원고의 환경오염 방지대책, 피고가 객관적·실증적 근거를 제시하지 않은 점, 공장부지와 주거지역 사이의 국도와 방음벽, 사후 제재수단의 존재 등을 이유로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산업집적법에 따르면 산업단지에서 제조업을 하려는 자가 관리기관과 입주계약을 체결한 때에는 공장설립 승인을 받은 것으로 의제되나, 건축법상 건축허가 또는 국토계획법상 개발행위허가를 받은 것으로 의제하는 규정은 없다. 또한 입주계약은 건축허가나 개발행위허가와는 목적과 취지, 요건과 효과를 달리하는 별개의 제도이므로, 공장건물을 건축하려면 건축허가와 개발행위허가를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국토계획법이 정한 용도지역 내에서의 건축허가는 건축법상 건축허가와 국토계획법상 개발행위허가의 성질을 아울러 가지고 있고, 개발행위허가는 허가기준 및 금지요건이 불확정개념으로 규정된 부분이 많아 그 요건 해당 여부는 행정청의 재량판단의 영역에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‘환경오염 발생 우려’와 같이 장래에 발생할 불확실한 상황과 파급효과에 대한 예측이 필요한 요건에 관한 행정청의 재량적 판단은, 그 내용이 현저히 합리성을 결여하였다거나 형평이나 비례의 원칙에 뚜렷하게 배치되는 등의 사정이 없는 한 폭넓게 존중하여야 하고, 재량권을 일탈·남용하였다는 사정은 그 처분의 효력을 다투는 자가 주장·증명하여야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아스콘 제조 공정에서 다량의 석유화합물이 배출되리라는 점은 일반인의 상식으로도 쉽게 예상할 수 있으므로, 특별히 정제되거나 가공된 원료를 사용한다거나 특별한 최신 공법을 적용한다는 예외적 사정이 없는 한 아스콘 공장은 대기환경보전법에서 정한 특정대기유해물질 배출시설이라고 볼 수밖에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원고가 제시한 대책은 혼합 공정의 온도를 낮추어 황산화물·질소산화물·탄화수소·미세먼지와 악취를 줄이겠다는 것에 초점이 맞추어져 있을 뿐, 아스콘 공장에서 일반적으로 발생하는 나머지 특정대기유해물질과 대기오염물질의 저감 방안은 제시되어 있지 않아 충분한 대책을 세웠다고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공장부지와 주거지역 사이의 국도와 방음벽은 소음을 일부 차단할 수 있을 뿐 대기오염물질의 확산까지 막을 수 있다고 보이지 않고, 지형상 대기오염물질이 인근 주거지역에 장기간 정체·축적될 가능성도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 규제만으로는 한계가 있으므로, 식수원인 태화강 상류에 인접하고 주변에 다수 주민이 거주하는 입지를 고려하면 사후 규제수단의 존재만으로 환경오염 우려가 불식된다고 볼 수 없다.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 제2호</w:t>
            </w:r>
          </w:p>
        </w:tc>
        <w:tc>
          <w:tcPr>
            <w:tcW w:type="pct" w:w="3500"/>
          </w:tcPr>
          <w:p>
            <w:pPr>
              <w:autoSpaceDN w:val="0"/>
              <w:autoSpaceDE w:val="0"/>
            </w:pPr>
            <w:r>
              <w:rPr>
                <w:rFonts w:ascii="맑은 고딕" w:hAnsi="맑은 고딕" w:eastAsia="맑은 고딕" w:cs="맑은 고딕"/>
                <w:color w:val="000000"/>
                <w:sz w:val="19"/>
              </w:rPr>
              <w:t>산업단지에서 제조업을 하려는 자가 관리기관과 입주계약을 체결한 경우에는 공장설립 등의 승인을 받은 것으로 본다.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N w:val="0"/>
              <w:autoSpaceDE w:val="0"/>
            </w:pPr>
            <w:r>
              <w:rPr>
                <w:rFonts w:ascii="맑은 고딕" w:hAnsi="맑은 고딕" w:eastAsia="맑은 고딕" w:cs="맑은 고딕"/>
                <w:color w:val="000000"/>
                <w:sz w:val="19"/>
              </w:rPr>
              <w:t>산업단지에서 제조업을 하려는 자는 관리기관과 입주계약을 체결하여야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건축법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w:t>
            </w:r>
          </w:p>
        </w:tc>
        <w:tc>
          <w:tcPr>
            <w:tcW w:type="pct" w:w="3500"/>
          </w:tcPr>
          <w:p>
            <w:pPr>
              <w:autoSpaceDN w:val="0"/>
              <w:autoSpaceDE w:val="0"/>
            </w:pPr>
            <w:r>
              <w:rPr>
                <w:rFonts w:ascii="맑은 고딕" w:hAnsi="맑은 고딕" w:eastAsia="맑은 고딕" w:cs="맑은 고딕"/>
                <w:color w:val="000000"/>
                <w:sz w:val="19"/>
              </w:rPr>
              <w:t>건축물을 건축하거나 대수선하려는 자는 특별자치시장·특별자치도지사 또는 시장·군수·구청장의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제56조 제1항</w:t>
            </w:r>
          </w:p>
        </w:tc>
        <w:tc>
          <w:tcPr>
            <w:tcW w:type="pct" w:w="3500"/>
          </w:tcPr>
          <w:p>
            <w:pPr>
              <w:autoSpaceDN w:val="0"/>
              <w:autoSpaceDE w:val="0"/>
            </w:pPr>
            <w:r>
              <w:rPr>
                <w:rFonts w:ascii="맑은 고딕" w:hAnsi="맑은 고딕" w:eastAsia="맑은 고딕" w:cs="맑은 고딕"/>
                <w:color w:val="000000"/>
                <w:sz w:val="19"/>
              </w:rPr>
              <w:t>건축물의 건축, 공작물의 설치, 토지의 형질 변경 등 개발행위를 하려는 자는 특별시장·광역시장·시장 또는 군수의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‘특정대기유해물질’이란 유해성대기감시물질 중 저농도에서도 장기적인 섭취나 노출에 의하여 사람의 건강이나 동식물의 생육에 위해를 끼칠 수 있어 대기 배출에 대한 관리가 필요하다고 인정된 물질로서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https://www.law.go.kr/판례/(2021두33883)</w:t>
      </w:r>
    </w:p>
    <w:p>
      <w:pPr>
        <w:autoSpaceDN w:val="0"/>
        <w:autoSpaceDE w:val="0"/>
        <w:spacing w:before="80"/>
      </w:pPr>
      <w:r>
        <w:rPr>
          <w:rFonts w:ascii="맑은 고딕" w:hAnsi="맑은 고딕" w:eastAsia="맑은 고딕" w:cs="맑은 고딕"/>
          <w:color w:val="000000"/>
          <w:sz w:val="18"/>
        </w:rPr>
        <w:t>태그  #대기환경보전법 #아스콘 #특정대기유해물질 #건축허가 #개발행위허가 #산업단지입주계약 #행정판례 #대법원판례 #2021년판례 #2021두33883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