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나중에 특정대기유해물질 시설이 된 기존 건축물은 특례부터 따져야 합니다</w:t>
      </w:r>
    </w:p>
    <w:p>
      <w:pPr>
        <w:autoSpaceDN w:val="0"/>
        <w:autoSpaceDE w:val="0"/>
        <w:pStyle w:val="law1"/>
        <w:spacing w:after="160"/>
      </w:pPr>
      <w:r>
        <w:rPr>
          <w:rFonts w:ascii="맑은 고딕" w:hAnsi="맑은 고딕" w:eastAsia="맑은 고딕" w:cs="맑은 고딕"/>
          <w:color w:val="000000"/>
        </w:rPr>
        <w:t>대법원 2021두38536 (2022.01.27 선고)</w:t>
      </w:r>
    </w:p>
    <w:p>
      <w:pPr>
        <w:autoSpaceDN w:val="0"/>
        <w:autoSpaceDE w:val="0"/>
        <w:spacing w:after="120"/>
      </w:pPr>
      <w:r>
        <w:rPr>
          <w:rFonts w:ascii="맑은 고딕" w:hAnsi="맑은 고딕" w:eastAsia="맑은 고딕" w:cs="맑은 고딕"/>
          <w:color w:val="000000"/>
        </w:rPr>
        <w:t>○ 적법하게 설치·운영하던 시설이 시행규칙 [별표 2] 개정으로 특정대기유해물질 배출시설이 되어 버린 경우, 곧바로 폐쇄명령을 할 수 있는지가 문제된 사건입니다. 대법원은 허가를 받지 않았다면 사용중지명령 요건에는 해당하지만, 국토계획법 시행령의 기존 건축물 특례가 적용되는지 따져 보지 않은 채 ‘설치가 금지된 장소’라고 단정하여 폐쇄명령을 할 수는 없다고 보았습니다.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법령이 바뀌어 우리 시설이 특정대기유해물질 배출시설이 되었습니다. 허가를 안 받으면 어떻게 되나요?</w:t>
            </w:r>
          </w:p>
          <w:p>
            <w:pPr>
              <w:autoSpaceDN w:val="0"/>
              <w:autoSpaceDE w:val="0"/>
            </w:pPr>
            <w:r>
              <w:rPr>
                <w:rFonts w:ascii="맑은 고딕" w:hAnsi="맑은 고딕" w:eastAsia="맑은 고딕" w:cs="맑은 고딕"/>
                <w:color w:val="000000"/>
                <w:sz w:val="19"/>
              </w:rPr>
              <w:t>A. 경과규정이 정한 기한까지 법 제23조에 따른 허가를 받지 않았다면 법 제38조 본문의 사용중지명령 요건에 해당합니다.</w:t>
            </w:r>
          </w:p>
          <w:p>
            <w:pPr>
              <w:autoSpaceDN w:val="0"/>
              <w:autoSpaceDE w:val="0"/>
            </w:pPr>
          </w:p>
          <w:p>
            <w:pPr>
              <w:autoSpaceDN w:val="0"/>
              <w:autoSpaceDE w:val="0"/>
            </w:pPr>
            <w:r>
              <w:rPr>
                <w:rFonts w:ascii="맑은 고딕" w:hAnsi="맑은 고딕" w:eastAsia="맑은 고딕" w:cs="맑은 고딕"/>
                <w:b/>
                <w:color w:val="000000"/>
                <w:sz w:val="19"/>
              </w:rPr>
              <w:t>Q. 그러면 계획관리지역에 있으니 곧바로 폐쇄명령까지 받나요?</w:t>
            </w:r>
          </w:p>
          <w:p>
            <w:pPr>
              <w:autoSpaceDN w:val="0"/>
              <w:autoSpaceDE w:val="0"/>
            </w:pPr>
            <w:r>
              <w:rPr>
                <w:rFonts w:ascii="맑은 고딕" w:hAnsi="맑은 고딕" w:eastAsia="맑은 고딕" w:cs="맑은 고딕"/>
                <w:color w:val="000000"/>
                <w:sz w:val="19"/>
              </w:rPr>
              <w:t>A. 아닙니다. 폐쇄명령은 ‘그 설치장소가 다른 법률에 따라 그 배출시설의 설치가 금지된 경우’여야 하는데, 국토계획법 시행령 제93조 제5항의 기존 건축물 특례가 적용되는지를 먼저 따져 보아야 합니다.</w:t>
            </w:r>
          </w:p>
          <w:p>
            <w:pPr>
              <w:autoSpaceDN w:val="0"/>
              <w:autoSpaceDE w:val="0"/>
            </w:pPr>
          </w:p>
          <w:p>
            <w:pPr>
              <w:autoSpaceDN w:val="0"/>
              <w:autoSpaceDE w:val="0"/>
            </w:pPr>
            <w:r>
              <w:rPr>
                <w:rFonts w:ascii="맑은 고딕" w:hAnsi="맑은 고딕" w:eastAsia="맑은 고딕" w:cs="맑은 고딕"/>
                <w:b/>
                <w:color w:val="000000"/>
                <w:sz w:val="19"/>
              </w:rPr>
              <w:t>Q. 허가 기한을 넘겼다는 사정만으로 특례 적용이 배제되나요?</w:t>
            </w:r>
          </w:p>
          <w:p>
            <w:pPr>
              <w:autoSpaceDN w:val="0"/>
              <w:autoSpaceDE w:val="0"/>
            </w:pPr>
            <w:r>
              <w:rPr>
                <w:rFonts w:ascii="맑은 고딕" w:hAnsi="맑은 고딕" w:eastAsia="맑은 고딕" w:cs="맑은 고딕"/>
                <w:color w:val="000000"/>
                <w:sz w:val="19"/>
              </w:rPr>
              <w:t>A. 그렇지 않습니다. 부칙이 정한 기한 내에 허가를 받지 않았다는 사정만으로 곧바로 그때부터 특례규정의 적용이 배제된다고 볼 수 없습니다.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2021두38536</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2022.01.27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 · 피고 경기도지사</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같은 취지</w:t>
            </w:r>
          </w:p>
        </w:tc>
        <w:tc>
          <w:tcPr>
            <w:tcW w:type="pct" w:w="3800"/>
          </w:tcPr>
          <w:p>
            <w:pPr>
              <w:autoSpaceDN w:val="0"/>
              <w:autoSpaceDE w:val="0"/>
            </w:pPr>
            <w:r>
              <w:rPr>
                <w:rFonts w:ascii="맑은 고딕" w:hAnsi="맑은 고딕" w:eastAsia="맑은 고딕" w:cs="맑은 고딕"/>
                <w:color w:val="000000"/>
                <w:sz w:val="19"/>
              </w:rPr>
              <w:t>대법원 2021두38932 (2022.01.27 선고) — 같은 날 같은 취지의 판결</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(폐쇄명령처분취소)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수원고법 2020누10995 (2021. 4. 16.)</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파기환송</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2000. 12. 14. 경기 양평군에 있는 이 사건 시설에 대하여 대기환경보전법에 따른 대기오염물질배출시설 설치신고를 하고, 그 무렵 이 사건 시설을 설치하여 사용해 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대기환경보전법 시행규칙이 2005. 12. 30. 개정되면서 [별표 2]에 ‘다환 방향족 탄화수소류’ 등이 특정대기유해물질로 추가되었고, 그 시행규칙 부칙(2007. 12. 31.) 제5조 제1항은 그 배출시설이 허가나 변경신고의 대상이 된 경우 2008. 12. 31.까지 법 제23조에 따라 허가를 받거나 변경신고를 하도록 정하였다.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피고가 이 사건 시설에서 2018. 5. 14. 채취한 시료에 대한 오염도검사를 의뢰한 결과, 특정대기유해물질인 ‘다환 방향족 탄화수소류’가 시행령 제11조 제1항 제1호에 따른 기준 이상으로 검출되었다.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이 사건 시설부지의 용도지역은 국토계획법상 계획관리지역으로 지정되어 있었다.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피고는 2018. 8. 30. 원고에 대하여 계획관리지역 안에서 허가받지 않은 특정대기유해물질 배출시설을 설치·사용했다는 이유로, 구 대기환경보전법 제38조 단서에 따라 이 사건 시설을 폐쇄하라는 명령을 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기존 건축물이 시행규칙 [별표 2] 개정으로 ‘특정대기유해물질이 기준 이상으로 발생되는 배출시설’에 해당하게 되었으나 부칙이 정한 기한 내에 허가를 받지 않은 경우 사용중지명령 요건에 해당하는지 여부, 그리고 그로 인해 국토계획법상 건축제한규정에 부적합하게 되었다는 이유만으로 폐쇄명령 요건인 ‘그 설치장소가 다른 법률에 따라 그 배출시설의 설치가 금지된 경우’에 해당한다고 볼 수 있는지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이 사건 시설이 계획관리지역 안에서 설치가 금지되는 시설에 해당하고, 국토계획법 시행령 제93조 제5항의 기존 건축물 특례규정은 대기환경보전법 등 다른 법령에 따른 인허가를 모두 받은 적법한 건축물에만 적용되는데, 원고가 부칙이 정한 2008. 12. 31.까지 허가를 받지 않아 2009. 1. 1.부터 무허가 배출시설이 되었으므로 그때부터 특례규정이 적용될 수 없다고 보아 폐쇄명령 요건을 충족한다고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다음과 같은 이유에서 받아들일 수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대기환경보전법 제38조에 따르면, 시·도지사는 허가를 받지 아니하거나 신고를 하지 아니하고 배출시설을 설치하거나 사용하는 자에게는 그 배출시설의 사용중지를 명하여야 하고(본문), 다만 그 설치장소가 다른 법률에 따라 그 배출시설의 설치가 금지된 경우에는 그 배출시설의 폐쇄를 명하여야 한다(단서).</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국토계획법 시행령 제93조 제5항 전문은 기존의 건축물이 법령의 제정·개정 등으로 건축제한 규정에 부적합하게 된 경우에도 해당 건축물의 기존 용도가 국토교통부령으로 정하는 바에 따라 확인되는 경우에는 업종을 변경하지 아니하는 경우에 한하여 기존 용도로 계속 사용할 수 있다고 정하고 있다. 이는 법령 개정 등으로 기존 건축물을 불법화하는 것이 국민들에게 예측하지 못한 부담을 주므로 합리적인 범위에서 기존의 현상을 인정하려는 데 취지가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시행규칙 부칙의 경과규정은 종전 규정에 따라 설치·운영하고 있는 배출시설이 [별표 2]의 개정으로 허가의 대상이 된 경우 허가를 받도록 하면서, 다만 ‘입지’와 관련해서는 그 배출시설이 종전 다른 법령의 입지제한 규정을 위반하지 않고 적법하게 설치되었다면 [별표 2]의 개정으로 비로소 특정대기유해물질 배출시설에 해당하게 되었다는 이유만으로 허가를 받는 것 자체가 불가능해지지 않도록 하려는 데 그 취지가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⑥ 이러한 관련 규정의 내용과 취지 등을 종합하면, 기존의 건축물이 [별표 2]의 개정으로 특정대기유해물질 배출시설에 해당하게 된 경우 부칙규정에 따른 허가를 받지 않았다면 법 제38조 본문의 사용중지명령 요건에 해당한다.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⑦ 그러나 그로 인해 국토계획법상 용도지역 안에서 건축제한규정에 부적합하게 되었다고 해도, 기존 용도가 확인되는 등 특례규정에서 정한 요건에 해당한다면 특례규정에 따라 기존 용도로 계속 사용할 수 있다. 따라서 특례규정이 적용되는지 여부를 따져 보지 않은 채 건축제한규정에 위반된다고 단정하여 허가를 받는 것 자체가 불가능하다거나 폐쇄명령 요건에 해당한다고 볼 것은 아니다.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설령 부칙규정에서 정한 기한 내 허가를 받지 않았다고 해도, 이러한 사정만으로 곧바로 위 허가기한이 지난 다음부터 특례규정의 적용이 배제된다고 볼 수도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⑨ 그런데도 원심은 특례규정에서 정한 요건에 해당하는지 심리하지 않은 채 폐쇄명령 요건에 해당한다고 판단하였으니, 원심판결에는 특례규정의 적용 범위 등에 관한 법리를 오해하고 필요한 심리를 다하지 아니한 잘못이 있다.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b/>
          <w:color w:val="000000"/>
          <w:u w:val="single"/>
        </w:rPr>
        <w:t>① 기존의 건축물이 2005. 12. 30. 대기환경보전법 시행규칙 제4조 [별표 2]의 개정으로 ‘특정대기유해물질이 기준 이상으로 발생되는 배출시설’에 해당하게 된 경우 부칙(2007. 12. 31.) 제5조 제1항에 따라 구 대기환경보전법 제23조에 따른 허가를 받지 않았다면, 같은 법 제38조 본문의 사용중지명령 요건에 해당한다.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② 그러나 해당 건축물이 위와 같이 ‘특정대기유해물질이 기준 이상으로 발생되는 배출시설’에 해당하게 됨으로써 국토의 계획 및 이용에 관한 법률상 용도지역 안에서 건축제한규정에 부적합하게 되었다고 해도, 기존 용도가 국토교통부령으로 정하는 바에 따라 확인되는 등 같은 법 시행령 제93조 제5항 전문에서 정한 요건에 해당한다면 특례규정에 따라 기존 용도로 계속 사용할 수 있다. 따라서 위 특례규정이 적용되는지 여부를 따져 보지 않은 채 위 건축제한규정에 위반된다고 단정하여 위 허가를 받는 것 자체가 불가능하다거나, 구 대기환경보전법 제38조 단서의 폐쇄명령 요건인 ‘그 설치장소가 다른 법률에 따라 그 배출시설의 설치가 금지된 경우’에 해당한다고 볼 것은 아니다. 설령 해당 건축물에 대하여 위 부칙규정에서 정한 기한 내 허가를 받지 않았다고 해도, 이러한 사정만으로 곧바로 위 허가기한이 지난 다음부터 위 특례규정의 적용이 배제된다고 볼 수도 없다.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제9호</w:t>
            </w:r>
          </w:p>
        </w:tc>
        <w:tc>
          <w:tcPr>
            <w:tcW w:type="pct" w:w="3500"/>
          </w:tcPr>
          <w:p>
            <w:pPr>
              <w:autoSpaceDN w:val="0"/>
              <w:autoSpaceDE w:val="0"/>
            </w:pPr>
            <w:r>
              <w:rPr>
                <w:rFonts w:ascii="맑은 고딕" w:hAnsi="맑은 고딕" w:eastAsia="맑은 고딕" w:cs="맑은 고딕"/>
                <w:color w:val="000000"/>
                <w:sz w:val="19"/>
              </w:rPr>
              <w:t>‘특정대기유해물질’이란 유해성대기감시물질 중 저농도에서도 장기적인 섭취나 노출에 의하여 사람의 건강이나 동식물의 생육에 위해를 끼칠 수 있어 대기 배출에 대한 관리가 필요하다고 인정된 물질로서 기후에너지환경부령으로 정하는 것을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제1항</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시·도지사의 허가를 받거나 시·도지사에게 신고하여야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w:t>
            </w:r>
          </w:p>
        </w:tc>
        <w:tc>
          <w:tcPr>
            <w:tcW w:type="pct" w:w="3500"/>
          </w:tcPr>
          <w:p>
            <w:pPr>
              <w:autoSpaceDN w:val="0"/>
              <w:autoSpaceDE w:val="0"/>
            </w:pPr>
            <w:r>
              <w:rPr>
                <w:rFonts w:ascii="맑은 고딕" w:hAnsi="맑은 고딕" w:eastAsia="맑은 고딕" w:cs="맑은 고딕"/>
                <w:color w:val="000000"/>
                <w:sz w:val="19"/>
              </w:rPr>
              <w:t>허가를 받지 아니하거나 신고를 하지 아니하고 배출시설을 설치하거나 사용하는 자에게는 그 배출시설의 사용중지를 명하여야 한다. 다만, 그 설치장소가 다른 법률에 따라 그 배출시설의 설치가 금지된 경우 등에는 그 배출시설의 폐쇄를 명하여야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제1항 제1호</w:t>
            </w:r>
          </w:p>
        </w:tc>
        <w:tc>
          <w:tcPr>
            <w:tcW w:type="pct" w:w="3500"/>
          </w:tcPr>
          <w:p>
            <w:pPr>
              <w:autoSpaceDN w:val="0"/>
              <w:autoSpaceDE w:val="0"/>
            </w:pPr>
            <w:r>
              <w:rPr>
                <w:rFonts w:ascii="맑은 고딕" w:hAnsi="맑은 고딕" w:eastAsia="맑은 고딕" w:cs="맑은 고딕"/>
                <w:color w:val="000000"/>
                <w:sz w:val="19"/>
              </w:rPr>
              <w:t>특정대기유해물질이 기후에너지환경부령으로 정하는 기준 이상으로 발생되는 배출시설은 설치허가를 받아야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[별표 2]</w:t>
            </w:r>
          </w:p>
        </w:tc>
        <w:tc>
          <w:tcPr>
            <w:tcW w:type="pct" w:w="3500"/>
          </w:tcPr>
          <w:p>
            <w:pPr>
              <w:autoSpaceDN w:val="0"/>
              <w:autoSpaceDE w:val="0"/>
            </w:pPr>
            <w:r>
              <w:rPr>
                <w:rFonts w:ascii="맑은 고딕" w:hAnsi="맑은 고딕" w:eastAsia="맑은 고딕" w:cs="맑은 고딕"/>
                <w:color w:val="000000"/>
                <w:sz w:val="19"/>
              </w:rPr>
              <w:t>법 제2조 제9호에 따른 특정대기유해물질을 열거하고 있다. 2005. 12. 30. 개정으로 ‘다환 방향족 탄화수소류’ 등이 추가되었다.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제93조 제5항</w:t>
            </w:r>
          </w:p>
        </w:tc>
        <w:tc>
          <w:tcPr>
            <w:tcW w:type="pct" w:w="3500"/>
          </w:tcPr>
          <w:p>
            <w:pPr>
              <w:autoSpaceDN w:val="0"/>
              <w:autoSpaceDE w:val="0"/>
            </w:pPr>
            <w:r>
              <w:rPr>
                <w:rFonts w:ascii="맑은 고딕" w:hAnsi="맑은 고딕" w:eastAsia="맑은 고딕" w:cs="맑은 고딕"/>
                <w:color w:val="000000"/>
                <w:sz w:val="19"/>
              </w:rPr>
              <w:t>기존의 건축물이 법령의 제정·개정 등으로 건축제한 규정에 부적합하게 된 경우에도 해당 건축물의 기존 용도가 국토교통부령으로 정하는 바에 따라 확인되는 경우에는 업종을 변경하지 아니하는 경우에 한하여 기존 용도로 계속 사용할 수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https://www.law.go.kr/판례/(2021두38536)</w:t>
      </w:r>
    </w:p>
    <w:p>
      <w:pPr>
        <w:autoSpaceDN w:val="0"/>
        <w:autoSpaceDE w:val="0"/>
        <w:spacing w:before="80"/>
      </w:pPr>
      <w:r>
        <w:rPr>
          <w:rFonts w:ascii="맑은 고딕" w:hAnsi="맑은 고딕" w:eastAsia="맑은 고딕" w:cs="맑은 고딕"/>
          <w:color w:val="000000"/>
          <w:sz w:val="18"/>
        </w:rPr>
        <w:t>태그  #대기환경보전법 #특정대기유해물질 #폐쇄명령 #사용중지명령 #계획관리지역 #기존건축물특례 #행정판례 #대법원판례 #2022년판례 #2021두38536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