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>
      <w:pPr>
        <w:autoSpaceDN w:val="0"/>
        <w:autoSpaceDE w:val="0"/>
        <w:spacing w:after="60"/>
      </w:pPr>
      <w:r>
        <w:rPr>
          <w:rFonts w:ascii="맑은 고딕" w:hAnsi="맑은 고딕" w:eastAsia="맑은 고딕" w:cs="맑은 고딕"/>
          <w:b/>
          <w:color w:val="000000"/>
          <w:sz w:val="30"/>
        </w:rPr>
        <w:t>시료에서 검출됐다고 배출시설 자체에서 발생한 것은 아닙니다</w:t>
      </w:r>
    </w:p>
    <w:p>
      <w:pPr>
        <w:autoSpaceDN w:val="0"/>
        <w:autoSpaceDE w:val="0"/>
        <w:pStyle w:val="law1"/>
        <w:spacing w:after="160"/>
      </w:pPr>
      <w:r>
        <w:rPr>
          <w:rFonts w:ascii="맑은 고딕" w:hAnsi="맑은 고딕" w:eastAsia="맑은 고딕" w:cs="맑은 고딕"/>
          <w:color w:val="000000"/>
        </w:rPr>
        <w:t>대법원 2002도6931 (2005.01.28 선고)</w:t>
      </w:r>
    </w:p>
    <w:p>
      <w:pPr>
        <w:autoSpaceDN w:val="0"/>
        <w:autoSpaceDE w:val="0"/>
        <w:spacing w:after="120"/>
      </w:pPr>
      <w:r>
        <w:rPr>
          <w:rFonts w:ascii="맑은 고딕" w:hAnsi="맑은 고딕" w:eastAsia="맑은 고딕" w:cs="맑은 고딕"/>
          <w:color w:val="000000"/>
        </w:rPr>
        <w:t>○ 폐수에서 구리화합물이 검출되었다는 이유로 무허가 폐수배출시설 설치·조업으로 기소된 사건입니다. 대법원은 ‘구리(동) 및 그 화합물’을 특정수질유해물질로 정한 시행규칙이 무효는 아니라고 하면서도, ‘특정수질유해물질이 발생되는 배출시설’이란 시설의 기능·공정상 발생하는 경우를 뜻하므로 검사결과통보서만으로 배출시설 자체에서 발생했다고 단정하기 어렵다고 보았습니다.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9026"/>
      </w:tblGrid>
      <w:tr>
        <w:tc>
          <w:tcPr>
            <w:tcW w:type="pct" w:w="50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21"/>
              </w:rPr>
              <w:t>※ 간단요약</w:t>
            </w:r>
          </w:p>
        </w:tc>
      </w:tr>
      <w:tr>
        <w:tc>
          <w:tcPr>
            <w:tcW w:type="pct" w:w="5000"/>
            <w:shd w:val="clear" w:color="auto" w:fill="F7F7F7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폐수에서 구리가 나오면 곧바로 허가 대상 시설이 되나요?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아닙니다. ‘특정수질유해물질이 발생되는 배출시설’이란 폐수배출시설의 기능 및 공정상 발생되는 경우, 즉 원료·부원료·첨가물의 성질과 공정 과정의 화학 작용 등이 원인이 되어 발생하는 경우를 의미합니다.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그러면 검사결과통보서만으로는 부족한가요?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실제 사용한 원료에 구리가 포함되어 있지 않고 시료 채취에도 문제가 있었다면, 시료에 구리화합물이 함유되어 있다는 검사결과만으로 시설 자체에서 발생했다고 단정하기 어렵습니다.</w:t>
            </w:r>
          </w:p>
          <w:p>
            <w:pPr>
              <w:autoSpaceDN w:val="0"/>
              <w:autoSpaceDE w:val="0"/>
            </w:pP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Q. 기준수치를 정하지 않고 ‘구리 및 그 화합물’이라고만 한 규정은 무효 아닌가요?</w:t>
            </w:r>
          </w:p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A. 무효가 아닙니다. 서술적 개념으로 의미가 명확해 죄형법정주의의 명확성 원칙에 반하지 않고, 기준수치를 정하지 않은 것도 모법의 위임범위를 벗어난 것이 아닙니다.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</w:pPr>
      <w:r>
        <w:rPr>
          <w:rFonts w:ascii="맑은 고딕" w:hAnsi="맑은 고딕" w:eastAsia="맑은 고딕" w:cs="맑은 고딕"/>
          <w:color w:val="000000"/>
        </w:rPr>
        <w:t>1. 사건 개요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사건번호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2002도6931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선고일자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2005.01.28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법원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대법원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당사자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피고인 나염가공업체 운영자 · 상고인 검사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사건종류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형사 (수질환경보전법위반)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원심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서울지법 2002노5308 (2002. 11. 21.)</w:t>
            </w:r>
          </w:p>
        </w:tc>
      </w:tr>
      <w:tr>
        <w:tc>
          <w:tcPr>
            <w:tcW w:type="pct" w:w="12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결과</w:t>
            </w:r>
          </w:p>
        </w:tc>
        <w:tc>
          <w:tcPr>
            <w:tcW w:type="pct" w:w="38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상고기각 (원심 확정)</w:t>
            </w:r>
          </w:p>
        </w:tc>
      </w:tr>
    </w:tbl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2. 사실관계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피고인은 나염가공업체를 운영하는 자로서, 환경부장관으로부터 폐수배출시설 설치허가를 받지 아니하였다.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② 검사는 피고인이 1999. 1. 11.경부터 2002. 3. 12.경까지 사업장에 나염제조시설 4대 등을 갖추고 조업하는 과정에서 발생한 폐수를, 특정수질유해물질인 구리화합물이 함유된 상태로 1일 평균 823ℓ씩 사업장 내 하수관을 통하여 무단 배출하였다는 공소사실로 기소하였다.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당시 시행령은 ‘특정수질유해물질이 발생되는 배출시설’ 등을 허가 대상으로, 그 밖의 배출시설을 신고 대상으로 구분하고 있었고, 시행규칙 [별표 2]는 ‘구리(동) 및 그 화합물’을 특정수질유해물질의 하나로 규정하면서 기준수치는 정하지 않았다.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이 사건 사업장에서 채취한 시료의 검사결과는 구리화합물이 0.536㎎/ℓ 함유되어 있다는 것이었는데, 피고인이 실제 사용한 물감 등 원료에는 구리가 포함되어 있지 않았고 시료 채취에도 부적합한 점이 있었다.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⑤ 원심은 위 시행규칙 규정이 명확성 원칙과 위임범위를 벗어나 무효라고 보았고, 나아가 검사결과통보서만으로는 배출시설 자체에서 구리화합물이 발생하였다고 단정하기 어렵다고 보아 무죄를 선고하였다.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3. 쟁점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  <w:u w:val="single"/>
        </w:rPr>
        <w:t>이 사건의 쟁점은, ‘구리(동) 및 그 화합물’을 특정수질유해물질로 정한 시행규칙 규정이 죄형법정주의의 명확성 원칙에 반하거나 모법의 위임범위를 벗어나 무효인지 여부와, 시행령이 정한 ‘특정수질유해물질이 발생되는 배출시설’의 의미이다.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4. 판단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color w:val="000000"/>
        </w:rPr>
        <w:t>① 원심의 판단 원심은 구리가 자연계에 널리 분포하는 점 등을 들어, 기준수치를 특정하지 않은 채 ‘구리(동) 및 그 화합물’만을 규정한 시행규칙은 명확성 원칙과 모법의 위임취지에 반하여 무효라고 보았고, 가사 유효하더라도 검사결과통보서만으로는 배출시설 자체에서 구리화합물이 발생하였다고 단정하기 어렵다고 판단하였다.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② 대법원의 판단 시행규칙이 무효라는 원심의 판단은 수긍하기 어려우나, 범죄의 증명이 없다고 본 결론은 정당하다.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③ 형벌법규의 입법목적이나 전체적 내용, 구조 등을 살펴보아 사물의 변별능력을 제대로 갖춘 일반인의 이해와 판단으로서 구성요건 요소에 해당하는 행위 유형을 정형화하거나 한정할 합리적 해석 기준을 찾을 수 있다면 명확성의 원칙에 반하지 않는다.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④ 이 사건 시행규칙은 법관의 보충적 해석도 거의 필요가 없는 서술적 개념인 ‘구리(동) 및 그 화합물’을 규정하고 있어, 어떤 물질이 이에 해당하는지에 관하여 수범자인 국민의 예측가능성이 충분히 보장되어 있고 법집행자의 자의적 집행 가능성도 거의 없으므로 명확성의 원칙에 반한다고 볼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⑤ 또한 특정수질유해물질을 규정하면서 기준수치를 정하지 않은 것은 모법의 기본적인 입법 목적과 폐수배출시설 허가제도의 취지에 부합하는 것으로서, 모법의 위임범위를 벗어났다거나 개인의 자유와 권리를 자의적으로 제한하는 위헌·위법한 규정이라고 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⑥ 다만 시행령에서 말하는 ‘특정수질유해물질이 발생되는 배출시설’이라 함은, 폐수배출시설의 기능 및 공정상 특정수질유해물질이 발생되는 경우, 즉 사업자가 사용하는 원료(용수 포함)·부원료·첨가물의 성질 및 그 공정 과정에서의 화학 작용 등이 원인이 되어 특정수질유해물질이 발생되는 경우를 의미한다.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t>⑦ 피고인이 실제 사용한 물감 등 원료에 구리 등이 포함되어 있지 않았고 시료의 부적합성 등도 인정되는 이상, 시료에 구리화합물이 함유되어 있다는 취지의 검사결과통보서만으로는 피고인이 설치한 폐수배출시설 자체로부터 구리화합물이 발생되었다고 단정하기 어렵다.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b/>
          <w:color w:val="000000"/>
          <w:u w:val="single"/>
        </w:rPr>
        <w:t>⑧ 따라서 이 사건 공소사실은 범죄의 증명이 없는 때에 해당하고, 원심의 결론은 정당하다.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5. 판결요지</w:t>
      </w:r>
    </w:p>
    <w:p>
      <w:pPr>
        <w:autoSpaceDN w:val="0"/>
        <w:autoSpaceDE w:val="0"/>
      </w:pPr>
      <w:r>
        <w:rPr>
          <w:rFonts w:ascii="맑은 고딕" w:hAnsi="맑은 고딕" w:eastAsia="맑은 고딕" w:cs="맑은 고딕"/>
          <w:b/>
          <w:color w:val="000000"/>
          <w:u w:val="single"/>
        </w:rPr>
        <w:t>① 수질환경보전법시행규칙 [별표 2]는 형벌조항의 구성요건 중 한 요소인 특정수질유해물질 중의 한 종류로서 법관의 보충적 해석도 거의 필요가 없는 서술적 개념인 ‘구리(동) 및 그 화합물’을 규정하고 있는바, 위 규정 내용 자체는 일반인의 이해와 판단으로서 그 의미를 명확하게 파악할 수 있는 것이어서 명확성의 원칙에 반하는 규정이라고 볼 수 없으며, 기준수치를 정하지 않은 것도 모법의 위임범위를 벗어났다고 할 수 없다.</w:t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</w:rPr>
        <w:br/>
      </w:r>
      <w:r>
        <w:rPr>
          <w:rFonts w:ascii="맑은 고딕" w:hAnsi="맑은 고딕" w:eastAsia="맑은 고딕" w:cs="맑은 고딕"/>
          <w:color w:val="000000"/>
          <w:u w:val="single"/>
        </w:rPr>
        <w:t>② 수질환경보전법시행령에서 말하는 ‘특정수질유해물질이 발생되는 배출시설’이라 함은, 폐수배출시설의 기능 및 공정상 특정수질유해물질이 발생되는 경우, 즉 사업자가 사용하는 원료(용수 포함)·부원료·첨가물의 성질 및 그 공정 과정에서의 화학 작용 등이 원인이 되어 특정수질유해물질이 발생되는 경우를 의미한다.</w:t>
      </w:r>
    </w:p>
    <w:p>
      <w:pPr>
        <w:autoSpaceDN w:val="0"/>
        <w:autoSpaceDE w:val="0"/>
      </w:pPr>
    </w:p>
    <w:p>
      <w:pPr>
        <w:autoSpaceDN w:val="0"/>
        <w:autoSpaceDE w:val="0"/>
      </w:pPr>
    </w:p>
    <w:p>
      <w:pPr>
        <w:autoSpaceDN w:val="0"/>
        <w:autoSpaceDE w:val="0"/>
        <w:pStyle w:val="2"/>
        <w:spacing w:before="80"/>
      </w:pPr>
      <w:r>
        <w:rPr>
          <w:rFonts w:ascii="맑은 고딕" w:hAnsi="맑은 고딕" w:eastAsia="맑은 고딕" w:cs="맑은 고딕"/>
          <w:color w:val="000000"/>
        </w:rPr>
        <w:t>6. 적용 법령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14" w:space="0" w:color="808080"/>
          <w:left w:val="single" w:sz="14" w:space="0" w:color="808080"/>
          <w:bottom w:val="single" w:sz="14" w:space="0" w:color="808080"/>
          <w:right w:val="single" w:sz="14" w:space="0" w:color="808080"/>
          <w:insideH w:val="single" w:sz="4" w:space="0" w:color="B7B7B7"/>
          <w:insideV w:val="single" w:sz="4" w:space="0" w:color="B7B7B7"/>
        </w:tblBorders>
      </w:tblPr>
      <w:tblGrid>
        <w:gridCol w:w="4513"/>
        <w:gridCol w:w="4513"/>
      </w:tblGrid>
      <w:tr>
        <w:tc>
          <w:tcPr>
            <w:tcW w:type="pct" w:w="1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조항</w:t>
            </w:r>
          </w:p>
        </w:tc>
        <w:tc>
          <w:tcPr>
            <w:tcW w:type="pct" w:w="3500"/>
            <w:shd w:val="clear" w:color="auto" w:fill="D9D9D9"/>
            <w:tcBorders>
              <w:bottom w:val="double" w:sz="6" w:space="0" w:color="808080"/>
            </w:tcBorders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적용 문구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제2조 제8호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‘특정수질유해물질’이란 사람의 건강, 재산이나 동식물의 생육에 직접 또는 간접으로 위해를 줄 우려가 있는 수질오염물질로서 기후에너지환경부령으로 정하는 것을 말한다.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제33조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배출시설을 설치하려는 자는 대통령령으로 정하는 바에 따라 기후에너지환경부장관의 허가를 받거나 기후에너지환경부장관에게 신고하여야 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시행령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제31조 제1항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특정수질유해물질이 발생되는 배출시설 등은 설치허가를 받아야 하는 배출시설로, 그 밖의 배출시설은 설치신고 대상으로 구분하고 있다.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 시행규칙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제4조 [별표 3]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법 제2조 제8호에 따른 특정수질유해물질을 열거하고 있으며, ‘구리(동) 및 그 화합물’이 포함된다.</w:t>
            </w:r>
          </w:p>
        </w:tc>
      </w:tr>
      <w:tr>
        <w:tc>
          <w:tcPr>
            <w:tcW w:type="pct" w:w="1500"/>
            <w:shd w:val="clear" w:color="auto" w:fill="F2F2F2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물환경보전법</w:t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br/>
            </w:r>
            <w:r>
              <w:rPr>
                <w:rFonts w:ascii="맑은 고딕" w:hAnsi="맑은 고딕" w:eastAsia="맑은 고딕" w:cs="맑은 고딕"/>
                <w:b/>
                <w:color w:val="000000"/>
                <w:sz w:val="19"/>
              </w:rPr>
              <w:t>제75조</w:t>
            </w:r>
          </w:p>
        </w:tc>
        <w:tc>
          <w:tcPr>
            <w:tcW w:type="pct" w:w="3500"/>
          </w:tcPr>
          <w:p>
            <w:pPr>
              <w:autoSpaceDN w:val="0"/>
              <w:autoSpaceDE w:val="0"/>
            </w:pPr>
            <w:r>
              <w:rPr>
                <w:rFonts w:ascii="맑은 고딕" w:hAnsi="맑은 고딕" w:eastAsia="맑은 고딕" w:cs="맑은 고딕"/>
                <w:color w:val="000000"/>
                <w:sz w:val="19"/>
              </w:rPr>
              <w:t>허가를 받지 아니하거나 거짓으로 허가를 받아 배출시설을 설치하거나 그 배출시설을 이용하여 조업한 자를 처벌한다.</w:t>
            </w:r>
          </w:p>
        </w:tc>
      </w:tr>
    </w:tbl>
    <w:p>
      <w:pPr>
        <w:autoSpaceDN w:val="0"/>
        <w:autoSpaceDE w:val="0"/>
        <w:pStyle w:val="note"/>
        <w:spacing w:before="80"/>
      </w:pPr>
      <w:r>
        <w:rPr>
          <w:rFonts w:ascii="맑은 고딕" w:hAnsi="맑은 고딕" w:eastAsia="맑은 고딕" w:cs="맑은 고딕"/>
          <w:color w:val="000000"/>
        </w:rPr>
        <w:t>※ ‘적용 문구’는 현행 조문을 요약한 것으로, 구법이 적용된 사건은 당시 조문과 다를 수 있습니다.</w:t>
      </w:r>
    </w:p>
    <w:p>
      <w:pPr>
        <w:autoSpaceDN w:val="0"/>
        <w:autoSpaceDE w:val="0"/>
        <w:pStyle w:val="note"/>
        <w:spacing w:before="120"/>
      </w:pPr>
      <w:r>
        <w:rPr>
          <w:rFonts w:ascii="맑은 고딕" w:hAnsi="맑은 고딕" w:eastAsia="맑은 고딕" w:cs="맑은 고딕"/>
          <w:color w:val="000000"/>
        </w:rPr>
        <w:t>※ 본 정리는 국가법령정보센터 판례를 정리한 참고자료이며, 구체적 사안은 판결 원문과 전문가 검토가 필요합니다.</w:t>
      </w:r>
    </w:p>
    <w:p>
      <w:pPr>
        <w:autoSpaceDN w:val="0"/>
        <w:autoSpaceDE w:val="0"/>
        <w:spacing w:before="120"/>
      </w:pPr>
      <w:r>
        <w:rPr>
          <w:rFonts w:ascii="맑은 고딕" w:hAnsi="맑은 고딕" w:eastAsia="맑은 고딕" w:cs="맑은 고딕"/>
          <w:color w:val="000000"/>
          <w:sz w:val="18"/>
        </w:rPr>
        <w:t>원문  https://www.law.go.kr/판례/(2002도6931)</w:t>
      </w:r>
    </w:p>
    <w:p>
      <w:pPr>
        <w:autoSpaceDN w:val="0"/>
        <w:autoSpaceDE w:val="0"/>
        <w:spacing w:before="80"/>
      </w:pPr>
      <w:r>
        <w:rPr>
          <w:rFonts w:ascii="맑은 고딕" w:hAnsi="맑은 고딕" w:eastAsia="맑은 고딕" w:cs="맑은 고딕"/>
          <w:color w:val="000000"/>
          <w:sz w:val="18"/>
        </w:rPr>
        <w:t>태그  #물환경보전법 #특정수질유해물질 #폐수배출시설 #설치허가 #구리 #시료채취 #형사판례 #대법원판례 #2005년판례 #2002도6931 #환경법 #환경인허가 #인허가서대리 #서대리</w:t>
      </w:r>
    </w:p>
    <w:p>
      <w:pPr>
        <w:autoSpaceDN w:val="0"/>
        <w:autoSpaceDE w:val="0"/>
        <w:pStyle w:val="mark"/>
      </w:pPr>
      <w:r>
        <w:rPr>
          <w:rFonts w:ascii="맑은 고딕" w:hAnsi="맑은 고딕" w:eastAsia="맑은 고딕" w:cs="맑은 고딕"/>
          <w:color w:val="000000"/>
        </w:rPr>
        <w:t>인허가 서대리  https://seodaeri.com/</w:t>
      </w:r>
    </w:p>
    <w:sectPr w:rsidR="00B27B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5019F" w14:textId="77777777" w:rsidR="00B27BFC" w:rsidRDefault="00B27BFC" w:rsidP="00F52617">
      <w:r>
        <w:separator/>
      </w:r>
    </w:p>
  </w:endnote>
  <w:endnote w:type="continuationSeparator" w:id="0">
    <w:p w14:paraId="7974C6BA" w14:textId="77777777" w:rsidR="00B27BFC" w:rsidRDefault="00B27BFC" w:rsidP="00F526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AD215" w14:textId="77777777" w:rsidR="00B27BFC" w:rsidRDefault="00B27BFC" w:rsidP="00F52617">
      <w:r>
        <w:separator/>
      </w:r>
    </w:p>
  </w:footnote>
  <w:footnote w:type="continuationSeparator" w:id="0">
    <w:p w14:paraId="7300C114" w14:textId="77777777" w:rsidR="00B27BFC" w:rsidRDefault="00B27BFC" w:rsidP="00F526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B13F6"/>
    <w:multiLevelType w:val="multilevel"/>
    <w:tmpl w:val="EF2A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8A3F22"/>
    <w:multiLevelType w:val="multilevel"/>
    <w:tmpl w:val="801AD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AF3513"/>
    <w:multiLevelType w:val="multilevel"/>
    <w:tmpl w:val="A90A5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35387B"/>
    <w:multiLevelType w:val="multilevel"/>
    <w:tmpl w:val="0E32E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2799665">
    <w:abstractNumId w:val="2"/>
  </w:num>
  <w:num w:numId="2" w16cid:durableId="1051461951">
    <w:abstractNumId w:val="0"/>
  </w:num>
  <w:num w:numId="3" w16cid:durableId="1212620573">
    <w:abstractNumId w:val="3"/>
  </w:num>
  <w:num w:numId="4" w16cid:durableId="6274003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617"/>
    <w:rsid w:val="00A42A17"/>
    <w:rsid w:val="00B27BFC"/>
    <w:rsid w:val="00F5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F796CA"/>
  <w15:chartTrackingRefBased/>
  <w15:docId w15:val="{AB8F6F78-766D-4920-A396-8027FE2C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spacing w:before="450" w:after="150"/>
      <w:outlineLvl w:val="1"/>
    </w:pPr>
    <w:rPr>
      <w:b/>
      <w:bCs/>
      <w:sz w:val="23"/>
      <w:szCs w:val="23"/>
    </w:rPr>
  </w:style>
  <w:style w:type="paragraph" w:styleId="3">
    <w:name w:val="heading 3"/>
    <w:basedOn w:val="a"/>
    <w:link w:val="3Char"/>
    <w:uiPriority w:val="9"/>
    <w:qFormat/>
    <w:pPr>
      <w:spacing w:before="165" w:after="75"/>
      <w:outlineLvl w:val="2"/>
    </w:pPr>
    <w:rPr>
      <w:b/>
      <w:bCs/>
      <w:sz w:val="20"/>
      <w:szCs w:val="20"/>
    </w:rPr>
  </w:style>
  <w:style w:type="paragraph" w:styleId="4">
    <w:name w:val="heading 4"/>
    <w:basedOn w:val="a"/>
    <w:link w:val="4Char"/>
    <w:uiPriority w:val="9"/>
    <w:qFormat/>
    <w:pPr>
      <w:spacing w:before="210" w:after="75"/>
      <w:outlineLvl w:val="3"/>
    </w:pPr>
    <w:rPr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page">
    <w:name w:val="page"/>
    <w:basedOn w:val="a"/>
    <w:pPr>
      <w:shd w:val="clear" w:color="auto" w:fill="FFFFFF"/>
    </w:pPr>
  </w:style>
  <w:style w:type="paragraph" w:customStyle="1" w:styleId="toolbar">
    <w:name w:val="toolbar"/>
    <w:basedOn w:val="a"/>
    <w:pPr>
      <w:jc w:val="right"/>
    </w:pPr>
    <w:rPr>
      <w:vanish/>
    </w:rPr>
  </w:style>
  <w:style w:type="paragraph" w:customStyle="1" w:styleId="btn">
    <w:name w:val="btn"/>
    <w:basedOn w:val="a"/>
    <w:pPr>
      <w:pBdr>
        <w:top w:val="single" w:sz="6" w:space="4" w:color="999999"/>
        <w:left w:val="single" w:sz="6" w:space="11" w:color="999999"/>
        <w:bottom w:val="single" w:sz="6" w:space="4" w:color="999999"/>
        <w:right w:val="single" w:sz="6" w:space="11" w:color="999999"/>
      </w:pBdr>
      <w:shd w:val="clear" w:color="auto" w:fill="FFFFFF"/>
      <w:spacing w:before="100" w:beforeAutospacing="1" w:after="100" w:afterAutospacing="1"/>
    </w:pPr>
    <w:rPr>
      <w:color w:val="333333"/>
      <w:sz w:val="18"/>
      <w:szCs w:val="18"/>
    </w:rPr>
  </w:style>
  <w:style w:type="paragraph" w:customStyle="1" w:styleId="doc-head">
    <w:name w:val="doc-head"/>
    <w:basedOn w:val="a"/>
    <w:pPr>
      <w:spacing w:before="100" w:beforeAutospacing="1" w:after="270"/>
      <w:jc w:val="center"/>
    </w:pPr>
  </w:style>
  <w:style w:type="paragraph" w:customStyle="1" w:styleId="bt">
    <w:name w:val="bt"/>
    <w:basedOn w:val="a"/>
    <w:pPr>
      <w:spacing w:before="75" w:after="45"/>
    </w:pPr>
    <w:rPr>
      <w:sz w:val="19"/>
      <w:szCs w:val="19"/>
    </w:rPr>
  </w:style>
  <w:style w:type="paragraph" w:customStyle="1" w:styleId="law-box">
    <w:name w:val="law-box"/>
    <w:basedOn w:val="a"/>
    <w:pPr>
      <w:shd w:val="clear" w:color="auto" w:fill="FBFBFB"/>
      <w:spacing w:before="120" w:after="60"/>
    </w:pPr>
  </w:style>
  <w:style w:type="paragraph" w:customStyle="1" w:styleId="note">
    <w:name w:val="note"/>
    <w:basedOn w:val="a"/>
    <w:pPr>
      <w:spacing w:before="105"/>
      <w:ind w:hanging="225"/>
    </w:pPr>
    <w:rPr>
      <w:b/>
      <w:bCs/>
      <w:sz w:val="19"/>
      <w:szCs w:val="19"/>
    </w:rPr>
  </w:style>
  <w:style w:type="paragraph" w:customStyle="1" w:styleId="src">
    <w:name w:val="src"/>
    <w:basedOn w:val="a"/>
    <w:pPr>
      <w:spacing w:before="90"/>
    </w:pPr>
    <w:rPr>
      <w:sz w:val="17"/>
      <w:szCs w:val="17"/>
    </w:rPr>
  </w:style>
  <w:style w:type="paragraph" w:customStyle="1" w:styleId="mark">
    <w:name w:val="mark"/>
    <w:basedOn w:val="a"/>
    <w:pPr>
      <w:spacing w:before="90"/>
      <w:jc w:val="right"/>
    </w:pPr>
    <w:rPr>
      <w:b/>
      <w:bCs/>
      <w:color w:val="9A9A9A"/>
      <w:spacing w:val="3"/>
      <w:sz w:val="17"/>
      <w:szCs w:val="17"/>
    </w:rPr>
  </w:style>
  <w:style w:type="paragraph" w:customStyle="1" w:styleId="runfoot">
    <w:name w:val="runfoot"/>
    <w:basedOn w:val="a"/>
    <w:pPr>
      <w:spacing w:before="240" w:after="100" w:afterAutospacing="1"/>
    </w:pPr>
    <w:rPr>
      <w:b/>
      <w:bCs/>
      <w:color w:val="666666"/>
      <w:sz w:val="17"/>
      <w:szCs w:val="17"/>
    </w:rPr>
  </w:style>
  <w:style w:type="paragraph" w:customStyle="1" w:styleId="sm">
    <w:name w:val="sm"/>
    <w:basedOn w:val="a"/>
    <w:pPr>
      <w:spacing w:before="100" w:beforeAutospacing="1" w:after="100" w:afterAutospacing="1"/>
    </w:pPr>
  </w:style>
  <w:style w:type="paragraph" w:customStyle="1" w:styleId="law">
    <w:name w:val="law"/>
    <w:basedOn w:val="a"/>
    <w:pPr>
      <w:spacing w:before="100" w:beforeAutospacing="1" w:after="100" w:afterAutospacing="1"/>
    </w:pPr>
  </w:style>
  <w:style w:type="paragraph" w:customStyle="1" w:styleId="rule">
    <w:name w:val="rule"/>
    <w:basedOn w:val="a"/>
    <w:pPr>
      <w:spacing w:before="100" w:beforeAutospacing="1" w:after="100" w:afterAutospacing="1"/>
    </w:pPr>
  </w:style>
  <w:style w:type="paragraph" w:customStyle="1" w:styleId="sep">
    <w:name w:val="sep"/>
    <w:basedOn w:val="a"/>
    <w:pPr>
      <w:spacing w:before="100" w:beforeAutospacing="1" w:after="100" w:afterAutospacing="1"/>
    </w:pPr>
  </w:style>
  <w:style w:type="paragraph" w:customStyle="1" w:styleId="grp">
    <w:name w:val="grp"/>
    <w:basedOn w:val="a"/>
    <w:pPr>
      <w:spacing w:before="100" w:beforeAutospacing="1" w:after="100" w:afterAutospacing="1"/>
    </w:pPr>
  </w:style>
  <w:style w:type="paragraph" w:customStyle="1" w:styleId="v">
    <w:name w:val="v"/>
    <w:basedOn w:val="a"/>
    <w:pPr>
      <w:spacing w:before="100" w:beforeAutospacing="1" w:after="100" w:afterAutospacing="1"/>
    </w:pPr>
  </w:style>
  <w:style w:type="paragraph" w:customStyle="1" w:styleId="ctr">
    <w:name w:val="ctr"/>
    <w:basedOn w:val="a"/>
    <w:pPr>
      <w:spacing w:before="100" w:beforeAutospacing="1" w:after="100" w:afterAutospacing="1"/>
    </w:pPr>
  </w:style>
  <w:style w:type="paragraph" w:customStyle="1" w:styleId="key">
    <w:name w:val="key"/>
    <w:basedOn w:val="a"/>
    <w:pPr>
      <w:spacing w:before="100" w:beforeAutospacing="1" w:after="100" w:afterAutospacing="1"/>
    </w:pPr>
  </w:style>
  <w:style w:type="paragraph" w:customStyle="1" w:styleId="lw">
    <w:name w:val="lw"/>
    <w:basedOn w:val="a"/>
    <w:pPr>
      <w:spacing w:before="100" w:beforeAutospacing="1" w:after="100" w:afterAutospacing="1"/>
    </w:pPr>
  </w:style>
  <w:style w:type="paragraph" w:customStyle="1" w:styleId="na">
    <w:name w:val="na"/>
    <w:basedOn w:val="a"/>
    <w:pPr>
      <w:spacing w:before="100" w:beforeAutospacing="1" w:after="100" w:afterAutospacing="1"/>
    </w:pPr>
  </w:style>
  <w:style w:type="paragraph" w:customStyle="1" w:styleId="cite">
    <w:name w:val="cite"/>
    <w:basedOn w:val="a"/>
    <w:pPr>
      <w:spacing w:before="100" w:beforeAutospacing="1" w:after="100" w:afterAutospacing="1"/>
    </w:pPr>
  </w:style>
  <w:style w:type="paragraph" w:customStyle="1" w:styleId="body">
    <w:name w:val="body"/>
    <w:basedOn w:val="a"/>
    <w:pPr>
      <w:spacing w:before="100" w:beforeAutospacing="1" w:after="100" w:afterAutospacing="1"/>
    </w:pPr>
  </w:style>
  <w:style w:type="paragraph" w:customStyle="1" w:styleId="u">
    <w:name w:val="u"/>
    <w:basedOn w:val="a"/>
    <w:pPr>
      <w:spacing w:before="100" w:beforeAutospacing="1" w:after="100" w:afterAutospacing="1"/>
    </w:pPr>
  </w:style>
  <w:style w:type="paragraph" w:customStyle="1" w:styleId="brand">
    <w:name w:val="brand"/>
    <w:basedOn w:val="a"/>
    <w:pPr>
      <w:spacing w:before="100" w:beforeAutospacing="1" w:after="100" w:afterAutospacing="1"/>
    </w:pPr>
  </w:style>
  <w:style w:type="paragraph" w:customStyle="1" w:styleId="url">
    <w:name w:val="url"/>
    <w:basedOn w:val="a"/>
    <w:pPr>
      <w:spacing w:before="100" w:beforeAutospacing="1" w:after="100" w:afterAutospacing="1"/>
    </w:pPr>
  </w:style>
  <w:style w:type="paragraph" w:customStyle="1" w:styleId="ho">
    <w:name w:val="ho"/>
    <w:basedOn w:val="a"/>
    <w:pPr>
      <w:spacing w:before="100" w:beforeAutospacing="1" w:after="100" w:afterAutospacing="1"/>
    </w:pPr>
  </w:style>
  <w:style w:type="paragraph" w:customStyle="1" w:styleId="mok">
    <w:name w:val="mok"/>
    <w:basedOn w:val="a"/>
    <w:pPr>
      <w:spacing w:before="100" w:beforeAutospacing="1" w:after="100" w:afterAutospacing="1"/>
    </w:pPr>
  </w:style>
  <w:style w:type="paragraph" w:customStyle="1" w:styleId="amend">
    <w:name w:val="amend"/>
    <w:basedOn w:val="a"/>
    <w:pPr>
      <w:spacing w:before="100" w:beforeAutospacing="1" w:after="100" w:afterAutospacing="1"/>
    </w:pPr>
  </w:style>
  <w:style w:type="paragraph" w:customStyle="1" w:styleId="bigo-t">
    <w:name w:val="bigo-t"/>
    <w:basedOn w:val="a"/>
    <w:pPr>
      <w:spacing w:before="100" w:beforeAutospacing="1" w:after="100" w:afterAutospacing="1"/>
    </w:pPr>
  </w:style>
  <w:style w:type="paragraph" w:customStyle="1" w:styleId="eq">
    <w:name w:val="eq"/>
    <w:basedOn w:val="a"/>
    <w:pPr>
      <w:spacing w:before="100" w:beforeAutospacing="1" w:after="100" w:afterAutospacing="1"/>
    </w:pPr>
  </w:style>
  <w:style w:type="paragraph" w:customStyle="1" w:styleId="law1">
    <w:name w:val="law1"/>
    <w:basedOn w:val="a"/>
    <w:pPr>
      <w:spacing w:after="180"/>
    </w:pPr>
    <w:rPr>
      <w:sz w:val="19"/>
      <w:szCs w:val="19"/>
    </w:rPr>
  </w:style>
  <w:style w:type="paragraph" w:customStyle="1" w:styleId="rule1">
    <w:name w:val="rule1"/>
    <w:basedOn w:val="a"/>
  </w:style>
  <w:style w:type="paragraph" w:customStyle="1" w:styleId="sm1">
    <w:name w:val="sm1"/>
    <w:basedOn w:val="a"/>
    <w:pPr>
      <w:spacing w:before="100" w:beforeAutospacing="1" w:after="100" w:afterAutospacing="1"/>
      <w:ind w:left="90"/>
    </w:pPr>
    <w:rPr>
      <w:sz w:val="17"/>
      <w:szCs w:val="17"/>
    </w:rPr>
  </w:style>
  <w:style w:type="paragraph" w:customStyle="1" w:styleId="sep1">
    <w:name w:val="sep1"/>
    <w:basedOn w:val="a"/>
    <w:pPr>
      <w:pBdr>
        <w:left w:val="single" w:sz="6" w:space="0" w:color="E0E0E0"/>
      </w:pBdr>
      <w:spacing w:before="100" w:beforeAutospacing="1" w:after="100" w:afterAutospacing="1"/>
    </w:pPr>
  </w:style>
  <w:style w:type="paragraph" w:customStyle="1" w:styleId="grp1">
    <w:name w:val="grp1"/>
    <w:basedOn w:val="a"/>
    <w:pPr>
      <w:shd w:val="clear" w:color="auto" w:fill="F5F5F5"/>
      <w:spacing w:before="100" w:beforeAutospacing="1" w:after="100" w:afterAutospacing="1"/>
      <w:jc w:val="center"/>
      <w:textAlignment w:val="center"/>
    </w:pPr>
    <w:rPr>
      <w:b/>
      <w:bCs/>
    </w:rPr>
  </w:style>
  <w:style w:type="paragraph" w:customStyle="1" w:styleId="v1">
    <w:name w:val="v1"/>
    <w:basedOn w:val="a"/>
    <w:pPr>
      <w:spacing w:before="100" w:beforeAutospacing="1" w:after="100" w:afterAutospacing="1"/>
      <w:textAlignment w:val="center"/>
    </w:pPr>
  </w:style>
  <w:style w:type="paragraph" w:customStyle="1" w:styleId="ctr1">
    <w:name w:val="ctr1"/>
    <w:basedOn w:val="a"/>
    <w:pPr>
      <w:spacing w:before="100" w:beforeAutospacing="1" w:after="100" w:afterAutospacing="1"/>
      <w:jc w:val="center"/>
    </w:pPr>
  </w:style>
  <w:style w:type="paragraph" w:customStyle="1" w:styleId="key1">
    <w:name w:val="key1"/>
    <w:basedOn w:val="a"/>
    <w:pPr>
      <w:spacing w:before="100" w:beforeAutospacing="1" w:after="100" w:afterAutospacing="1"/>
    </w:pPr>
    <w:rPr>
      <w:b/>
      <w:bCs/>
    </w:rPr>
  </w:style>
  <w:style w:type="paragraph" w:customStyle="1" w:styleId="lw1">
    <w:name w:val="lw1"/>
    <w:basedOn w:val="a"/>
    <w:pPr>
      <w:spacing w:before="100" w:beforeAutospacing="1" w:after="100" w:afterAutospacing="1"/>
      <w:ind w:left="60"/>
    </w:pPr>
    <w:rPr>
      <w:sz w:val="17"/>
      <w:szCs w:val="17"/>
    </w:rPr>
  </w:style>
  <w:style w:type="paragraph" w:customStyle="1" w:styleId="na1">
    <w:name w:val="na1"/>
    <w:basedOn w:val="a"/>
    <w:pPr>
      <w:spacing w:before="100" w:beforeAutospacing="1" w:after="100" w:afterAutospacing="1"/>
    </w:pPr>
    <w:rPr>
      <w:color w:val="8A8A8A"/>
    </w:rPr>
  </w:style>
  <w:style w:type="paragraph" w:customStyle="1" w:styleId="cite1">
    <w:name w:val="cite1"/>
    <w:basedOn w:val="a"/>
    <w:pPr>
      <w:spacing w:after="90"/>
    </w:pPr>
    <w:rPr>
      <w:b/>
      <w:bCs/>
      <w:sz w:val="17"/>
      <w:szCs w:val="17"/>
    </w:rPr>
  </w:style>
  <w:style w:type="paragraph" w:customStyle="1" w:styleId="body1">
    <w:name w:val="body1"/>
    <w:basedOn w:val="a"/>
    <w:pPr>
      <w:spacing w:before="100" w:beforeAutospacing="1" w:after="100" w:afterAutospacing="1"/>
    </w:pPr>
    <w:rPr>
      <w:color w:val="000000"/>
      <w:sz w:val="19"/>
      <w:szCs w:val="19"/>
    </w:rPr>
  </w:style>
  <w:style w:type="paragraph" w:customStyle="1" w:styleId="ho1">
    <w:name w:val="ho1"/>
    <w:basedOn w:val="a"/>
    <w:pPr>
      <w:spacing w:after="75"/>
    </w:pPr>
  </w:style>
  <w:style w:type="paragraph" w:customStyle="1" w:styleId="mok1">
    <w:name w:val="mok1"/>
    <w:basedOn w:val="a"/>
    <w:pPr>
      <w:spacing w:after="75"/>
    </w:pPr>
  </w:style>
  <w:style w:type="paragraph" w:customStyle="1" w:styleId="amend1">
    <w:name w:val="amend1"/>
    <w:basedOn w:val="a"/>
    <w:pPr>
      <w:spacing w:after="75"/>
    </w:pPr>
    <w:rPr>
      <w:sz w:val="16"/>
      <w:szCs w:val="16"/>
    </w:rPr>
  </w:style>
  <w:style w:type="paragraph" w:customStyle="1" w:styleId="bigo-t1">
    <w:name w:val="bigo-t1"/>
    <w:basedOn w:val="a"/>
    <w:pPr>
      <w:spacing w:before="120" w:after="45"/>
    </w:pPr>
    <w:rPr>
      <w:rFonts w:ascii="맑은 고딕" w:eastAsia="맑은 고딕" w:hAnsi="맑은 고딕"/>
      <w:b/>
      <w:bCs/>
      <w:sz w:val="17"/>
      <w:szCs w:val="17"/>
    </w:rPr>
  </w:style>
  <w:style w:type="paragraph" w:customStyle="1" w:styleId="eq1">
    <w:name w:val="eq1"/>
    <w:basedOn w:val="a"/>
    <w:pPr>
      <w:spacing w:before="75" w:after="75"/>
    </w:pPr>
  </w:style>
  <w:style w:type="paragraph" w:customStyle="1" w:styleId="u1">
    <w:name w:val="u1"/>
    <w:basedOn w:val="a"/>
    <w:pPr>
      <w:spacing w:before="100" w:beforeAutospacing="1" w:after="100" w:afterAutospacing="1"/>
      <w:ind w:left="60"/>
    </w:pPr>
    <w:rPr>
      <w:b/>
      <w:bCs/>
      <w:color w:val="B0B0B0"/>
    </w:rPr>
  </w:style>
  <w:style w:type="paragraph" w:customStyle="1" w:styleId="brand1">
    <w:name w:val="brand1"/>
    <w:basedOn w:val="a"/>
    <w:pPr>
      <w:spacing w:before="100" w:beforeAutospacing="1" w:after="100" w:afterAutospacing="1"/>
    </w:pPr>
    <w:rPr>
      <w:b/>
      <w:bCs/>
      <w:color w:val="555555"/>
    </w:rPr>
  </w:style>
  <w:style w:type="paragraph" w:customStyle="1" w:styleId="url1">
    <w:name w:val="url1"/>
    <w:basedOn w:val="a"/>
    <w:pPr>
      <w:spacing w:before="100" w:beforeAutospacing="1" w:after="100" w:afterAutospacing="1"/>
    </w:pPr>
    <w:rPr>
      <w:color w:val="777777"/>
    </w:rPr>
  </w:style>
  <w:style w:type="character" w:customStyle="1" w:styleId="amend2">
    <w:name w:val="amend2"/>
    <w:basedOn w:val="a0"/>
    <w:rPr>
      <w:sz w:val="16"/>
      <w:szCs w:val="16"/>
    </w:rPr>
  </w:style>
  <w:style w:type="paragraph" w:styleId="a4">
    <w:name w:val="header"/>
    <w:basedOn w:val="a"/>
    <w:link w:val="Char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2617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F526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2617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57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9238">
          <w:marLeft w:val="0"/>
          <w:marRight w:val="0"/>
          <w:marTop w:val="0"/>
          <w:marBottom w:val="27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096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086821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464575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9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516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5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9496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124277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373273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7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339630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7576728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5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018404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61056">
          <w:marLeft w:val="0"/>
          <w:marRight w:val="0"/>
          <w:marTop w:val="12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1344</Words>
  <Characters>7661</Characters>
  <Application>Microsoft Office Word</Application>
  <DocSecurity>4</DocSecurity>
  <Lines>63</Lines>
  <Paragraphs>17</Paragraphs>
  <ScaleCrop>false</ScaleCrop>
  <Company/>
  <LinksUpToDate>false</LinksUpToDate>
  <CharactersWithSpaces>8988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환경기술인 보유 자격기준 및 법적 근거</dc:title>
  <dc:subject/>
  <dc:creator>GWANGSIK JO</dc:creator>
  <cp:keywords/>
  <dc:description/>
  <cp:lastModifiedBy>GWANGSIK JO</cp:lastModifiedBy>
  <cp:revision>2</cp:revision>
  <dcterms:created xsi:type="dcterms:W3CDTF">2026-07-31T02:26:00Z</dcterms:created>
  <dcterms:modified xsi:type="dcterms:W3CDTF">2026-07-31T02:26:00Z</dcterms:modified>
</cp:coreProperties>
</file>