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N w:val="0"/>
        <w:autoSpaceDE w:val="0"/>
        <w:spacing w:after="60"/>
      </w:pPr>
      <w:r>
        <w:rPr>
          <w:rFonts w:ascii="맑은 고딕" w:hAnsi="맑은 고딕" w:eastAsia="맑은 고딕" w:cs="맑은 고딕"/>
          <w:b/>
          <w:color w:val="000000"/>
          <w:sz w:val="30"/>
        </w:rPr>
        <w:t>환경관리책임자라도 미필적 고의는 따로 증명해야 합니다</w:t>
      </w:r>
    </w:p>
    <w:p>
      <w:pPr>
        <w:autoSpaceDN w:val="0"/>
        <w:autoSpaceDE w:val="0"/>
        <w:pStyle w:val="law1"/>
        <w:spacing w:after="160"/>
      </w:pPr>
      <w:r>
        <w:rPr>
          <w:rFonts w:ascii="맑은 고딕" w:hAnsi="맑은 고딕" w:eastAsia="맑은 고딕" w:cs="맑은 고딕"/>
          <w:color w:val="000000"/>
        </w:rPr>
        <w:t>대법원 2003도7507 (2004.02.27 선고)</w:t>
      </w:r>
    </w:p>
    <w:p>
      <w:pPr>
        <w:autoSpaceDN w:val="0"/>
        <w:autoSpaceDE w:val="0"/>
        <w:spacing w:after="120"/>
      </w:pPr>
      <w:r>
        <w:rPr>
          <w:rFonts w:ascii="맑은 고딕" w:hAnsi="맑은 고딕" w:eastAsia="맑은 고딕" w:cs="맑은 고딕"/>
          <w:color w:val="000000"/>
        </w:rPr>
        <w:t>○ 직원들 사이의 연락 착오로 폐수처리시설이 제때 전환되지 않아 기준 초과 폐수가 방류된 사건에서, 회사 환경관리책임자에게 미필적 고의를 인정할 수 있는지가 문제되었습니다. 대법원은 미필적 고의는 결과발생 가능성의 인식만으로는 부족하고 이를 용인하는 내심의 의사까지 있어야 한다며 원심을 파기하였습니다.</w:t>
      </w:r>
    </w:p>
    <w:p>
      <w:pPr>
        <w:autoSpaceDN w:val="0"/>
        <w:autoSpaceDE w:val="0"/>
      </w:pPr>
    </w:p>
    <w:p>
      <w:pPr>
        <w:autoSpaceDN w:val="0"/>
        <w:autoSpaceDE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21"/>
              </w:rPr>
              <w:t>※ 간단요약</w:t>
            </w:r>
          </w:p>
        </w:tc>
      </w:tr>
      <w:tr>
        <w:tc>
          <w:tcPr>
            <w:tcW w:type="pct" w:w="5000"/>
            <w:shd w:val="clear" w:color="auto" w:fill="F7F7F7"/>
          </w:tcPr>
          <w:p>
            <w:pPr>
              <w:autoSpaceDN w:val="0"/>
              <w:autoSpaceDE w:val="0"/>
            </w:pPr>
            <w:r>
              <w:rPr>
                <w:rFonts w:ascii="맑은 고딕" w:hAnsi="맑은 고딕" w:eastAsia="맑은 고딕" w:cs="맑은 고딕"/>
                <w:b/>
                <w:color w:val="000000"/>
                <w:sz w:val="19"/>
              </w:rPr>
              <w:t>Q. 미필적 고의가 인정되려면 무엇이 필요한가요?</w:t>
            </w:r>
          </w:p>
          <w:p>
            <w:pPr>
              <w:autoSpaceDN w:val="0"/>
              <w:autoSpaceDE w:val="0"/>
            </w:pPr>
            <w:r>
              <w:rPr>
                <w:rFonts w:ascii="맑은 고딕" w:hAnsi="맑은 고딕" w:eastAsia="맑은 고딕" w:cs="맑은 고딕"/>
                <w:color w:val="000000"/>
                <w:sz w:val="19"/>
              </w:rPr>
              <w:t>A. 결과발생의 가능성에 대한 인식이 있음은 물론, 나아가 결과발생을 용인하는 내심의 의사가 있어야 합니다.</w:t>
            </w:r>
          </w:p>
          <w:p>
            <w:pPr>
              <w:autoSpaceDN w:val="0"/>
              <w:autoSpaceDE w:val="0"/>
            </w:pPr>
          </w:p>
          <w:p>
            <w:pPr>
              <w:autoSpaceDN w:val="0"/>
              <w:autoSpaceDE w:val="0"/>
            </w:pPr>
            <w:r>
              <w:rPr>
                <w:rFonts w:ascii="맑은 고딕" w:hAnsi="맑은 고딕" w:eastAsia="맑은 고딕" w:cs="맑은 고딕"/>
                <w:b/>
                <w:color w:val="000000"/>
                <w:sz w:val="19"/>
              </w:rPr>
              <w:t>Q. 환경관리책임자는 지위만으로 책임을 지나요?</w:t>
            </w:r>
          </w:p>
          <w:p>
            <w:pPr>
              <w:autoSpaceDN w:val="0"/>
              <w:autoSpaceDE w:val="0"/>
            </w:pPr>
            <w:r>
              <w:rPr>
                <w:rFonts w:ascii="맑은 고딕" w:hAnsi="맑은 고딕" w:eastAsia="맑은 고딕" w:cs="맑은 고딕"/>
                <w:color w:val="000000"/>
                <w:sz w:val="19"/>
              </w:rPr>
              <w:t>A. 아닙니다. 그 지위에서 지휘·감독을 소홀히 한 과실은 인정될지 몰라도, 그것만으로 폐수배출의 미필적 고의가 있다고 볼 수는 없습니다.</w:t>
            </w:r>
          </w:p>
          <w:p>
            <w:pPr>
              <w:autoSpaceDN w:val="0"/>
              <w:autoSpaceDE w:val="0"/>
            </w:pPr>
          </w:p>
          <w:p>
            <w:pPr>
              <w:autoSpaceDN w:val="0"/>
              <w:autoSpaceDE w:val="0"/>
            </w:pPr>
            <w:r>
              <w:rPr>
                <w:rFonts w:ascii="맑은 고딕" w:hAnsi="맑은 고딕" w:eastAsia="맑은 고딕" w:cs="맑은 고딕"/>
                <w:b/>
                <w:color w:val="000000"/>
                <w:sz w:val="19"/>
              </w:rPr>
              <w:t>Q. 어떤 사실이 인정되어야 미필적 고의를 볼 수 있나요?</w:t>
            </w:r>
          </w:p>
          <w:p>
            <w:pPr>
              <w:autoSpaceDN w:val="0"/>
              <w:autoSpaceDE w:val="0"/>
            </w:pPr>
            <w:r>
              <w:rPr>
                <w:rFonts w:ascii="맑은 고딕" w:hAnsi="맑은 고딕" w:eastAsia="맑은 고딕" w:cs="맑은 고딕"/>
                <w:color w:val="000000"/>
                <w:sz w:val="19"/>
              </w:rPr>
              <w:t>A. 당일 작업 사실과 연락 누락, 장치 전환이 이루어지지 않아 폐수가 배출될 우려가 있다는 점을 인식하고서도 그대로 내버려 둔 사실이 인정되어야 합니다.</w:t>
            </w:r>
          </w:p>
        </w:tc>
      </w:tr>
    </w:tbl>
    <w:p>
      <w:pPr>
        <w:autoSpaceDN w:val="0"/>
        <w:autoSpaceDE w:val="0"/>
      </w:pPr>
    </w:p>
    <w:p>
      <w:pPr>
        <w:autoSpaceDN w:val="0"/>
        <w:autoSpaceDE w:val="0"/>
      </w:pPr>
    </w:p>
    <w:p>
      <w:pPr>
        <w:autoSpaceDN w:val="0"/>
        <w:autoSpaceDE w:val="0"/>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N w:val="0"/>
              <w:autoSpaceDE w:val="0"/>
            </w:pPr>
            <w:r>
              <w:rPr>
                <w:rFonts w:ascii="맑은 고딕" w:hAnsi="맑은 고딕" w:eastAsia="맑은 고딕" w:cs="맑은 고딕"/>
                <w:b/>
                <w:color w:val="000000"/>
                <w:sz w:val="19"/>
              </w:rPr>
              <w:t>사건번호</w:t>
            </w:r>
          </w:p>
        </w:tc>
        <w:tc>
          <w:tcPr>
            <w:tcW w:type="pct" w:w="3800"/>
          </w:tcPr>
          <w:p>
            <w:pPr>
              <w:autoSpaceDN w:val="0"/>
              <w:autoSpaceDE w:val="0"/>
            </w:pPr>
            <w:r>
              <w:rPr>
                <w:rFonts w:ascii="맑은 고딕" w:hAnsi="맑은 고딕" w:eastAsia="맑은 고딕" w:cs="맑은 고딕"/>
                <w:color w:val="000000"/>
                <w:sz w:val="19"/>
              </w:rPr>
              <w:t>2003도7507</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선고일자</w:t>
            </w:r>
          </w:p>
        </w:tc>
        <w:tc>
          <w:tcPr>
            <w:tcW w:type="pct" w:w="3800"/>
          </w:tcPr>
          <w:p>
            <w:pPr>
              <w:autoSpaceDN w:val="0"/>
              <w:autoSpaceDE w:val="0"/>
            </w:pPr>
            <w:r>
              <w:rPr>
                <w:rFonts w:ascii="맑은 고딕" w:hAnsi="맑은 고딕" w:eastAsia="맑은 고딕" w:cs="맑은 고딕"/>
                <w:color w:val="000000"/>
                <w:sz w:val="19"/>
              </w:rPr>
              <w:t>2004.02.27</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법원</w:t>
            </w:r>
          </w:p>
        </w:tc>
        <w:tc>
          <w:tcPr>
            <w:tcW w:type="pct" w:w="3800"/>
          </w:tcPr>
          <w:p>
            <w:pPr>
              <w:autoSpaceDN w:val="0"/>
              <w:autoSpaceDE w:val="0"/>
            </w:pPr>
            <w:r>
              <w:rPr>
                <w:rFonts w:ascii="맑은 고딕" w:hAnsi="맑은 고딕" w:eastAsia="맑은 고딕" w:cs="맑은 고딕"/>
                <w:color w:val="000000"/>
                <w:sz w:val="19"/>
              </w:rPr>
              <w:t>대법원</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당사자</w:t>
            </w:r>
          </w:p>
        </w:tc>
        <w:tc>
          <w:tcPr>
            <w:tcW w:type="pct" w:w="3800"/>
          </w:tcPr>
          <w:p>
            <w:pPr>
              <w:autoSpaceDN w:val="0"/>
              <w:autoSpaceDE w:val="0"/>
            </w:pPr>
            <w:r>
              <w:rPr>
                <w:rFonts w:ascii="맑은 고딕" w:hAnsi="맑은 고딕" w:eastAsia="맑은 고딕" w:cs="맑은 고딕"/>
                <w:color w:val="000000"/>
                <w:sz w:val="19"/>
              </w:rPr>
              <w:t>피고인 환경관리책임자(관리팀장) 및 법인 · 상고인 피고인들</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사건종류</w:t>
            </w:r>
          </w:p>
        </w:tc>
        <w:tc>
          <w:tcPr>
            <w:tcW w:type="pct" w:w="3800"/>
          </w:tcPr>
          <w:p>
            <w:pPr>
              <w:autoSpaceDN w:val="0"/>
              <w:autoSpaceDE w:val="0"/>
            </w:pPr>
            <w:r>
              <w:rPr>
                <w:rFonts w:ascii="맑은 고딕" w:hAnsi="맑은 고딕" w:eastAsia="맑은 고딕" w:cs="맑은 고딕"/>
                <w:color w:val="000000"/>
                <w:sz w:val="19"/>
              </w:rPr>
              <w:t>형사 (수질환경보전법위반)</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원심</w:t>
            </w:r>
          </w:p>
        </w:tc>
        <w:tc>
          <w:tcPr>
            <w:tcW w:type="pct" w:w="3800"/>
          </w:tcPr>
          <w:p>
            <w:pPr>
              <w:autoSpaceDN w:val="0"/>
              <w:autoSpaceDE w:val="0"/>
            </w:pPr>
            <w:r>
              <w:rPr>
                <w:rFonts w:ascii="맑은 고딕" w:hAnsi="맑은 고딕" w:eastAsia="맑은 고딕" w:cs="맑은 고딕"/>
                <w:color w:val="000000"/>
                <w:sz w:val="19"/>
              </w:rPr>
              <w:t>대구지법 2003노1154 (2003. 11. 14.)</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결과</w:t>
            </w:r>
          </w:p>
        </w:tc>
        <w:tc>
          <w:tcPr>
            <w:tcW w:type="pct" w:w="3800"/>
          </w:tcPr>
          <w:p>
            <w:pPr>
              <w:autoSpaceDN w:val="0"/>
              <w:autoSpaceDE w:val="0"/>
            </w:pPr>
            <w:r>
              <w:rPr>
                <w:rFonts w:ascii="맑은 고딕" w:hAnsi="맑은 고딕" w:eastAsia="맑은 고딕" w:cs="맑은 고딕"/>
                <w:color w:val="000000"/>
                <w:sz w:val="19"/>
              </w:rPr>
              <w:t>원심 파기환송</w:t>
            </w:r>
          </w:p>
        </w:tc>
      </w:tr>
    </w:tbl>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2. 사실관계</w:t>
      </w:r>
    </w:p>
    <w:p>
      <w:pPr>
        <w:autoSpaceDN w:val="0"/>
        <w:autoSpaceDE w:val="0"/>
      </w:pPr>
      <w:r>
        <w:rPr>
          <w:rFonts w:ascii="맑은 고딕" w:hAnsi="맑은 고딕" w:eastAsia="맑은 고딕" w:cs="맑은 고딕"/>
          <w:color w:val="000000"/>
        </w:rPr>
        <w:t>① 피고인 1은 피고인 2 회사의 관리팀장으로서 회사의 환경관리책임자였다.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공소사실은 피고인 1이 2002. 3. 19.경 공장에서 정당한 사유 없이 수질오염방지시설을 정상적으로 가동하지 아니하여, 방진복 세탁 과정에서 발생한 수소이온농도 10.7(기준치 5.8∼8.6)인 폐수를 하수구를 통해 방류하였다는 것이다.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수지재생작업은 회사 직원인 공소외 1이 담당하였는데, 당시 공소외 1은 작업 사실을 폐수처리설비 운영자인 공소외 2에게 알리려 하였으나 연락이 되지 않자 공소외 2의 업무용 칠판에 이를 기재해 두고 작업을 시작하였다.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공소외 2는 폐수처리장에서 20~30m 떨어진 소각장에 있어 작업 시작을 알지 못하였고, 평소 자동으로 투입되던 염산 장치를 수동으로 전환하여 더 많은 양을 투입하여야 함에도 이를 전환하지 아니하여 폐수가 그대로 배출되었다.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공소외 1은 그 전에도 칠판에 기재만 해두고 작업한 적이 있었고, 환경관리책임자인 피고인 1도 그러한 사정을 알고 있었다.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⑥ 원심은 피고인 1에게 기준 초과 폐수가 방류될 수도 있다는 미필적 인식이 있었다고 보아 유죄로 인정하고, 이를 전제로 회사에 대한 공소사실도 유죄로 인정하였다.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3. 쟁점</w:t>
      </w:r>
    </w:p>
    <w:p>
      <w:pPr>
        <w:autoSpaceDN w:val="0"/>
        <w:autoSpaceDE w:val="0"/>
      </w:pPr>
      <w:r>
        <w:rPr>
          <w:rFonts w:ascii="맑은 고딕" w:hAnsi="맑은 고딕" w:eastAsia="맑은 고딕" w:cs="맑은 고딕"/>
          <w:color w:val="000000"/>
          <w:u w:val="single"/>
        </w:rPr>
        <w:t>이 사건의 쟁점은, 미필적 고의가 인정되기 위한 요건과, 회사의 환경관리책임자에게 폐수배출의 미필적 고의를 인정할 수 있는지 여부이다.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4. 판단</w:t>
      </w:r>
    </w:p>
    <w:p>
      <w:pPr>
        <w:autoSpaceDN w:val="0"/>
        <w:autoSpaceDE w:val="0"/>
      </w:pPr>
      <w:r>
        <w:rPr>
          <w:rFonts w:ascii="맑은 고딕" w:hAnsi="맑은 고딕" w:eastAsia="맑은 고딕" w:cs="맑은 고딕"/>
          <w:color w:val="000000"/>
        </w:rPr>
        <w:t>① 원심의 판단 원심은 공소외 1이 작업 사실을 칠판에 적어두기만 하였고 공소외 2가 이를 제때 보지 못하여 장치를 전환하지 못한 사정을 환경관리책임자인 피고인 1이 알고 있었다면, 기준치를 초과하는 폐수가 방류될 수도 있다는 점에 대하여 미필적 인식이 있었다고 보아 유죄로 인정하였다.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대법원의 판단 그러나 피고인 1에게 폐수배출의 미필적 고의가 있다고 한 원심의 판단은 다음과 같은 점에서 수긍하기 어렵다.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미필적 고의라 함은 결과의 발생이 불확실한 경우 즉, 행위자에 있어서 그 결과발생에 대한 확실한 예견은 없으나 그 가능성은 인정하는 것을 말한다.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이러한 미필적 고의가 있었다고 하려면 결과발생의 가능성에 대한 인식이 있음은 물론, 나아가 결과발생을 용인하는 내심의 의사가 있음을 요한다.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이 사건에서 미필적 고의를 인정하려면 피고인 1이 당일 수지재생작업이 이루어진다는 사실, 그 사실이 담당자에게 직접 전달되지 않고 칠판에만 기재된 사실, 담당자가 이를 제때 보지 못하여 장치를 전환하지 아니함으로써 폐수가 배출될 우려가 있다는 점을 인식하고서도 그대로 내버려 둔 사실이 인정되어야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⑥ 그런데 당시 피고인 1이 위 사실들을 인식하고 있었다고 볼 만한 아무런 자료도 기록상 찾아볼 수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⑦ 또한 피고인 1이 지휘·감독을 소홀히 하면 폐수가 배출될 수도 있다는 점을 예견하고 그럼에도 이를 용인하는 내심의 의사가 있었다면 미필적 고의를 볼 여지도 있으나, 이 사건 이전에 연락 불비 등으로 폐수가 배출된 사실을 인정할 증거가 없고 그러한 예견이나 용인의 의사를 인정할 자료도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⑧ 그렇다면 피고인 1이 환경관리책임자로서 직원들을 철저히 지휘감독하지 못한 과실은 인정될지 몰라도, 폐수배출의 미필적 고의가 있다고 볼 수는 없다.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5. 판결요지</w:t>
      </w:r>
    </w:p>
    <w:p>
      <w:pPr>
        <w:autoSpaceDN w:val="0"/>
        <w:autoSpaceDE w:val="0"/>
      </w:pPr>
      <w:r>
        <w:rPr>
          <w:rFonts w:ascii="맑은 고딕" w:hAnsi="맑은 고딕" w:eastAsia="맑은 고딕" w:cs="맑은 고딕"/>
          <w:color w:val="000000"/>
          <w:u w:val="single"/>
        </w:rPr>
        <w:t>① 미필적 고의라 함은 결과의 발생이 불확실한 경우 즉 행위자에 있어서 그 결과발생에 대한 확실한 예견은 없으나 그 가능성은 인정하는 것으로, 이러한 미필적 고의가 있었다고 하려면 결과발생의 가능성에 대한 인식이 있음은 물론 나아가 결과발생을 용인하는 내심의 의사가 있음을 요한다.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② 회사의 환경관리책임자에게 폐수배출의 미필적 고의가 있다고 보아 수질환경보전법위반의 공소사실을 유죄로 인정한 원심판결은 채증법칙 위배 및 법리오해의 위법이 있다.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적용 문구</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제38조 제1항 제4호</w:t>
            </w:r>
          </w:p>
        </w:tc>
        <w:tc>
          <w:tcPr>
            <w:tcW w:type="pct" w:w="3500"/>
          </w:tcPr>
          <w:p>
            <w:pPr>
              <w:autoSpaceDN w:val="0"/>
              <w:autoSpaceDE w:val="0"/>
            </w:pPr>
            <w:r>
              <w:rPr>
                <w:rFonts w:ascii="맑은 고딕" w:hAnsi="맑은 고딕" w:eastAsia="맑은 고딕" w:cs="맑은 고딕"/>
                <w:color w:val="000000"/>
                <w:sz w:val="19"/>
              </w:rPr>
              <w:t>사업자 또는 방지시설을 운영하는 자는 배출시설 및 방지시설을 정당한 사유 없이 정상적으로 가동하지 아니하여 배출허용기준을 초과한 수질오염물질을 배출하는 행위를 하여서는 아니 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제32조 제1항</w:t>
            </w:r>
          </w:p>
        </w:tc>
        <w:tc>
          <w:tcPr>
            <w:tcW w:type="pct" w:w="3500"/>
          </w:tcPr>
          <w:p>
            <w:pPr>
              <w:autoSpaceDN w:val="0"/>
              <w:autoSpaceDE w:val="0"/>
            </w:pPr>
            <w:r>
              <w:rPr>
                <w:rFonts w:ascii="맑은 고딕" w:hAnsi="맑은 고딕" w:eastAsia="맑은 고딕" w:cs="맑은 고딕"/>
                <w:color w:val="000000"/>
                <w:sz w:val="19"/>
              </w:rPr>
              <w:t>폐수배출시설에서 배출되는 수질오염물질의 배출허용기준은 기후에너지환경부령으로 정한다.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제47조</w:t>
            </w:r>
          </w:p>
        </w:tc>
        <w:tc>
          <w:tcPr>
            <w:tcW w:type="pct" w:w="3500"/>
          </w:tcPr>
          <w:p>
            <w:pPr>
              <w:autoSpaceDN w:val="0"/>
              <w:autoSpaceDE w:val="0"/>
            </w:pPr>
            <w:r>
              <w:rPr>
                <w:rFonts w:ascii="맑은 고딕" w:hAnsi="맑은 고딕" w:eastAsia="맑은 고딕" w:cs="맑은 고딕"/>
                <w:color w:val="000000"/>
                <w:sz w:val="19"/>
              </w:rPr>
              <w:t>사업자는 배출시설과 방지시설의 정상적인 운영·관리를 위하여 환경기술인을 임명하여야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제76조</w:t>
            </w:r>
          </w:p>
        </w:tc>
        <w:tc>
          <w:tcPr>
            <w:tcW w:type="pct" w:w="3500"/>
          </w:tcPr>
          <w:p>
            <w:pPr>
              <w:autoSpaceDN w:val="0"/>
              <w:autoSpaceDE w:val="0"/>
            </w:pPr>
            <w:r>
              <w:rPr>
                <w:rFonts w:ascii="맑은 고딕" w:hAnsi="맑은 고딕" w:eastAsia="맑은 고딕" w:cs="맑은 고딕"/>
                <w:color w:val="000000"/>
                <w:sz w:val="19"/>
              </w:rPr>
              <w:t>제38조 제1항 각 호의 어느 하나에 해당하는 행위를 한 자를 처벌한다.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형법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제13조</w:t>
            </w:r>
          </w:p>
        </w:tc>
        <w:tc>
          <w:tcPr>
            <w:tcW w:type="pct" w:w="3500"/>
          </w:tcPr>
          <w:p>
            <w:pPr>
              <w:autoSpaceDN w:val="0"/>
              <w:autoSpaceDE w:val="0"/>
            </w:pPr>
            <w:r>
              <w:rPr>
                <w:rFonts w:ascii="맑은 고딕" w:hAnsi="맑은 고딕" w:eastAsia="맑은 고딕" w:cs="맑은 고딕"/>
                <w:color w:val="000000"/>
                <w:sz w:val="19"/>
              </w:rPr>
              <w:t>죄의 성립요소인 사실을 인식하지 못한 행위는 벌하지 아니한다. 다만, 법률에 특별한 규정이 있는 경우에는 예외로 한다.</w:t>
            </w:r>
          </w:p>
        </w:tc>
      </w:tr>
    </w:tbl>
    <w:p>
      <w:pPr>
        <w:autoSpaceDN w:val="0"/>
        <w:autoSpaceDE w:val="0"/>
        <w:pStyle w:val="note"/>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autoSpaceDN w:val="0"/>
        <w:autoSpaceDE w:val="0"/>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N w:val="0"/>
        <w:autoSpaceDE w:val="0"/>
        <w:spacing w:before="120"/>
      </w:pPr>
      <w:r>
        <w:rPr>
          <w:rFonts w:ascii="맑은 고딕" w:hAnsi="맑은 고딕" w:eastAsia="맑은 고딕" w:cs="맑은 고딕"/>
          <w:color w:val="000000"/>
          <w:sz w:val="18"/>
        </w:rPr>
        <w:t>원문  https://www.law.go.kr/판례/(2003도7507)</w:t>
      </w:r>
    </w:p>
    <w:p>
      <w:pPr>
        <w:autoSpaceDN w:val="0"/>
        <w:autoSpaceDE w:val="0"/>
        <w:spacing w:before="80"/>
      </w:pPr>
      <w:r>
        <w:rPr>
          <w:rFonts w:ascii="맑은 고딕" w:hAnsi="맑은 고딕" w:eastAsia="맑은 고딕" w:cs="맑은 고딕"/>
          <w:color w:val="000000"/>
          <w:sz w:val="18"/>
        </w:rPr>
        <w:t>태그  #물환경보전법 #환경기술인 #환경관리책임자 #미필적고의 #방지시설 #정상가동 #형사판례 #대법원판례 #2004년판례 #2003도7507 #환경법 #환경인허가 #인허가서대리 #서대리</w:t>
      </w:r>
    </w:p>
    <w:p>
      <w:pPr>
        <w:autoSpaceDN w:val="0"/>
        <w:autoSpaceDE w:val="0"/>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