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autoSpaceDN w:val="0"/>
        <w:autoSpaceDE w:val="0"/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폐수를 전량 종말처리시설로 보내도 초과배출부과금은 부과됩니다</w:t>
      </w:r>
    </w:p>
    <w:p>
      <w:pPr>
        <w:autoSpaceDN w:val="0"/>
        <w:autoSpaceDE w:val="0"/>
        <w:pStyle w:val="law1"/>
        <w:spacing w:after="160"/>
      </w:pPr>
      <w:r>
        <w:rPr>
          <w:rFonts w:ascii="맑은 고딕" w:hAnsi="맑은 고딕" w:eastAsia="맑은 고딕" w:cs="맑은 고딕"/>
          <w:color w:val="000000"/>
        </w:rPr>
        <w:t>대법원 2011두12986 (2011.10.27 선고)</w:t>
      </w:r>
    </w:p>
    <w:p>
      <w:pPr>
        <w:autoSpaceDN w:val="0"/>
        <w:autoSpaceDE w:val="0"/>
        <w:spacing w:after="120"/>
      </w:pPr>
      <w:r>
        <w:rPr>
          <w:rFonts w:ascii="맑은 고딕" w:hAnsi="맑은 고딕" w:eastAsia="맑은 고딕" w:cs="맑은 고딕"/>
          <w:color w:val="000000"/>
        </w:rPr>
        <w:t>○ 사업장 내 전처리시설을 거쳐 산업단지 폐수종말처리시설로 폐수를 전량 유입하는 배출시설에도 초과배출부과금을 부과할 수 있는지가 문제된 사건입니다. 대법원은 폐수를 전량 유입하는 배출시설에 대하여도 초과배출부과금이 부과될 수 있고, 별도 배출허용기준 고시가 이중 규제로서 무효라고 볼 수 없다고 판단하였습니다.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9026"/>
      </w:tblGrid>
      <w:tr>
        <w:tc>
          <w:tcPr>
            <w:tcW w:type="pct" w:w="50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※ 간단요약</w:t>
            </w:r>
          </w:p>
        </w:tc>
      </w:tr>
      <w:tr>
        <w:tc>
          <w:tcPr>
            <w:tcW w:type="pct" w:w="5000"/>
            <w:shd w:val="clear" w:color="auto" w:fill="F7F7F7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폐수를 공공수역에 직접 안 내보내고 종말처리시설로 전량 보내면 부과금 대상이 아닌가요?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대상이 됩니다. 폐수종말처리시설 등에 배수설비를 통하여 폐수를 전량 유입하는 배출시설에 대하여도 초과배출부과금이 부과될 수 있습니다.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그런 배출시설의 배출허용기준은 무엇인가요?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종말처리시설에서 적정하게 처리할 수 있는 항목에 한하여 환경부장관이 별도의 배출허용기준을 정하여 고시할 수 있습니다.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전처리시설과 종말처리시설을 함께 규제하면 이중 규제 아닌가요?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대법원은 그 고시가 유기적 일체를 이루는 전처리시설에 대한 불필요한 이중 규제이거나 지나치게 과중한 규제여서 무효라고 볼 수 없다고 판단했습니다.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2011두12986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2011.10.27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대법원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당사자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원고 ○○○ 주식회사(농수산물 가공판매업) · 피고 충청남도지사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사건종류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일반행정 (초과배출부과금부과처분취소)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원심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대전고법 2010누2768 (2011. 5. 12.)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결과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상고기각 (원심 확정)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2. 사실관계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원고는 농수산물 가공판매업 등을 영위하는 회사로서, 산업단지 안에 사업장을 두고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원고의 사업장 내부에는 전(前)처리시설이 설치되어 있었고, 이를 통해 처리된 폐수는 원고가 소속된 산업단지 내 폐수종말처리시설로 전량 유입되었다.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환경부장관은 폐수종말처리시설에 배수설비를 통하여 폐수를 전량 유입하는 배출시설에 대하여 별도의 배출허용기준을 정하여 고시하고 있었다.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피고가 실시한 오염도 검사 결과, 원고가 위 고시상의 별도 배출허용기준을 초과하여 수질오염물질을 배출한 것으로 확인되었다.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이에 피고는 원고에게 개선명령과 함께 초과배출부과금을 부과하였고, 원고는 위 고시가 이중 규제로서 무효라고 주장하며 처분의 취소를 구하였다.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3. 쟁점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  <w:u w:val="single"/>
        </w:rPr>
        <w:t>이 사건의 쟁점은, 폐수종말처리시설 등에 배수설비를 통하여 폐수를 전량 유입하는 배출시설에 대하여도 초과배출부과금이 부과될 수 있는지 여부와, 그 배출시설에 대한 별도 배출허용기준 고시가 이중 규제 등에 해당하여 무효인지 여부이다.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4. 판단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원심의 판단 원심은 위 고시가 폐수종말처리시설과 유기적 일체를 이루고 있는 전처리시설을 대상으로 한 불필요한 이중 규제에 해당하거나 원고에게 지나치게 과중한 규제를 가한 것에 해당하여 무효라고 볼 수 없다고 판단하였다.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  <w:u w:val="single"/>
        </w:rPr>
        <w:t>② 대법원의 판단 원심의 판단은 정당하고, 거기에 상고이유 주장과 같은 법리오해의 위법이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수질 및 수생태계 보전에 관한 법률 제32조 제1항은 폐수배출시설에서 배출되는 수질오염물질의 배출허용기준은 환경부령으로 정한다고 규정하고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b/>
          <w:color w:val="000000"/>
          <w:u w:val="single"/>
        </w:rPr>
        <w:t>④ 같은 조 제8항은 폐수종말처리시설 또는 하수도법에 따른 하수종말처리시설에 배수설비를 통하여 폐수를 전량 유입하는 배출시설에 대하여는, 그 종말처리시설에서 적정하게 처리할 수 있는 항목에 한하여 제1항에도 불구하고 별도의 배출허용기준을 정하여 고시할 수 있다고 규정하고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그러므로 폐수종말처리시설 등에 배수설비를 통하여 폐수를 전량 유입하는 배출시설에 대하여도 법 제41조, 시행령 제45조 등에 의한 초과배출부과금이 부과될 수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⑥ 이 사건 전처리시설은 사업장 내부에 설치되어 있고 그로부터 배출된 폐수가 산업단지 내 폐수종말처리시설로 유입되는 구조이나, 그러한 사정만으로 별도 배출허용기준의 적용이 배제된다고 볼 수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⑦ 따라서 위 고시가 유기적 일체를 이루고 있는 전처리시설을 대상으로 한 불필요한 이중 규제에 해당하거나 지나치게 과중한 규제를 가한 것이어서 무효라고 볼 수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⑧ 이에 상고를 기각한다.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5. 적용 법령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조항</w:t>
            </w:r>
          </w:p>
        </w:tc>
        <w:tc>
          <w:tcPr>
            <w:tcW w:type="pct" w:w="3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적용 문구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제32조 제1항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폐수배출시설에서 배출되는 수질오염물질의 배출허용기준은 기후에너지환경부령으로 정한다.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제32조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공공폐수처리시설 또는 공공하수처리시설에 폐수관로·배수설비를 통하여 폐수를 전량 유입하는 배출시설에 대하여는 그 처리시설에서 적정하게 처리할 수 있는 항목에 한하여 별도의 배출허용기준을 정하여 고시할 수 있다.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제41조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기후에너지환경부장관은 수질오염물질을 배출하는 사업자 등에게 배출부과금을 부과·징수하며, 배출부과금은 기본배출부과금과 초과배출부과금으로 구분한다.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제48조 제1항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국가·지방자치단체 등은 수질오염이 악화되어 환경기준을 유지하기 곤란하거나 물환경 보전에 필요하다고 인정할 때에는 공공폐수처리시설을 설치·운영할 수 있다.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 시행령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제45조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초과배출부과금의 산정방법과 산정기준을 정하고 있다.</w:t>
            </w:r>
          </w:p>
        </w:tc>
      </w:tr>
    </w:tbl>
    <w:p>
      <w:pPr>
        <w:autoSpaceDN w:val="0"/>
        <w:autoSpaceDE w:val="0"/>
        <w:pStyle w:val="note"/>
        <w:spacing w:before="80"/>
      </w:pPr>
      <w:r>
        <w:rPr>
          <w:rFonts w:ascii="맑은 고딕" w:hAnsi="맑은 고딕" w:eastAsia="맑은 고딕" w:cs="맑은 고딕"/>
          <w:color w:val="000000"/>
        </w:rPr>
        <w:t>※ ‘적용 문구’는 현행 조문을 요약한 것으로, 구법이 적용된 사건은 당시 조문과 다를 수 있습니다.</w:t>
      </w:r>
    </w:p>
    <w:p>
      <w:pPr>
        <w:autoSpaceDN w:val="0"/>
        <w:autoSpaceDE w:val="0"/>
        <w:pStyle w:val="note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정리한 참고자료이며, 구체적 사안은 판결 원문과 전문가 검토가 필요합니다.</w:t>
      </w:r>
    </w:p>
    <w:p>
      <w:pPr>
        <w:autoSpaceDN w:val="0"/>
        <w:autoSpaceDE w:val="0"/>
        <w:spacing w:before="120"/>
      </w:pPr>
      <w:r>
        <w:rPr>
          <w:rFonts w:ascii="맑은 고딕" w:hAnsi="맑은 고딕" w:eastAsia="맑은 고딕" w:cs="맑은 고딕"/>
          <w:color w:val="000000"/>
          <w:sz w:val="18"/>
        </w:rPr>
        <w:t>원문  https://www.law.go.kr/판례/(2011두12986)</w:t>
      </w:r>
    </w:p>
    <w:p>
      <w:pPr>
        <w:autoSpaceDN w:val="0"/>
        <w:autoSpaceDE w:val="0"/>
        <w:spacing w:before="80"/>
      </w:pPr>
      <w:r>
        <w:rPr>
          <w:rFonts w:ascii="맑은 고딕" w:hAnsi="맑은 고딕" w:eastAsia="맑은 고딕" w:cs="맑은 고딕"/>
          <w:color w:val="000000"/>
          <w:sz w:val="18"/>
        </w:rPr>
        <w:t>태그  #물환경보전법 #초과배출부과금 #폐수종말처리시설 #공공폐수처리시설 #전처리시설 #배출허용기준 #행정판례 #대법원판례 #2011년판례 #2011두12986 #환경법 #환경인허가 #인허가서대리 #서대리</w:t>
      </w:r>
    </w:p>
    <w:p>
      <w:pPr>
        <w:autoSpaceDN w:val="0"/>
        <w:autoSpaceDE w:val="0"/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