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pPr>
        <w:autoSpaceDN w:val="0"/>
        <w:autoSpaceDE w:val="0"/>
        <w:spacing w:after="60"/>
      </w:pPr>
      <w:r>
        <w:rPr>
          <w:rFonts w:ascii="맑은 고딕" w:hAnsi="맑은 고딕" w:eastAsia="맑은 고딕" w:cs="맑은 고딕"/>
          <w:b/>
          <w:color w:val="000000"/>
          <w:sz w:val="30"/>
        </w:rPr>
        <w:t>내 영향력 안의 사람이 낸 오염은 내가 방제해야 합니다</w:t>
      </w:r>
    </w:p>
    <w:p>
      <w:pPr>
        <w:autoSpaceDN w:val="0"/>
        <w:autoSpaceDE w:val="0"/>
        <w:pStyle w:val="law1"/>
        <w:spacing w:after="160"/>
      </w:pPr>
      <w:r>
        <w:rPr>
          <w:rFonts w:ascii="맑은 고딕" w:hAnsi="맑은 고딕" w:eastAsia="맑은 고딕" w:cs="맑은 고딕"/>
          <w:color w:val="000000"/>
        </w:rPr>
        <w:t>대법원 2011두2453 (2011.12.13 선고)</w:t>
      </w:r>
    </w:p>
    <w:p>
      <w:pPr>
        <w:autoSpaceDN w:val="0"/>
        <w:autoSpaceDE w:val="0"/>
        <w:spacing w:after="120"/>
      </w:pPr>
      <w:r>
        <w:rPr>
          <w:rFonts w:ascii="맑은 고딕" w:hAnsi="맑은 고딕" w:eastAsia="맑은 고딕" w:cs="맑은 고딕"/>
          <w:color w:val="000000"/>
        </w:rPr>
        <w:t>○ 하도급 업체 작업 중 발생한 화재로 하천이 오염되자 행정청이 대집행 비용을 자산관리회사에 부담시킨 사건입니다. 대법원은 ‘그 행위자의 사업주’란 자기의 사업활동을 위하여 자기의 영향력 내에 있는 행위자를 이용하는 자를 가리키므로, 여러 단계의 도급을 거쳤더라도 방제조치 의무를 부담한다고 보았습니다.</w:t>
      </w:r>
    </w:p>
    <w:p>
      <w:pPr>
        <w:autoSpaceDN w:val="0"/>
        <w:autoSpaceDE w:val="0"/>
      </w:pPr>
    </w:p>
    <w:p>
      <w:pPr>
        <w:autoSpaceDN w:val="0"/>
        <w:autoSpaceDE w:val="0"/>
      </w:pPr>
    </w:p>
    <w:tbl>
      <w:tblPr>
        <w:tblW w:type="pct" w:w="5000"/>
        <w:tblLook w:firstColumn="1" w:firstRow="1" w:lastColumn="0" w:lastRow="0" w:noHBand="0" w:noVBand="1" w:val="04A0"/>
        <w:tblBorders>
          <w:top w:val="single" w:sz="14" w:space="0" w:color="808080"/>
          <w:left w:val="single" w:sz="14" w:space="0" w:color="808080"/>
          <w:bottom w:val="single" w:sz="14" w:space="0" w:color="808080"/>
          <w:right w:val="single" w:sz="14" w:space="0" w:color="808080"/>
          <w:insideH w:val="single" w:sz="4" w:space="0" w:color="B7B7B7"/>
          <w:insideV w:val="single" w:sz="4" w:space="0" w:color="B7B7B7"/>
        </w:tblBorders>
      </w:tblPr>
      <w:tblGrid>
        <w:gridCol w:w="9026"/>
      </w:tblGrid>
      <w:tr>
        <w:tc>
          <w:tcPr>
            <w:tcW w:type="pct" w:w="5000"/>
            <w:shd w:val="clear" w:color="auto" w:fill="D9D9D9"/>
            <w:tcBorders>
              <w:bottom w:val="double" w:sz="6" w:space="0" w:color="808080"/>
            </w:tcBorders>
          </w:tcPr>
          <w:p>
            <w:pPr>
              <w:autoSpaceDN w:val="0"/>
              <w:autoSpaceDE w:val="0"/>
            </w:pPr>
            <w:r>
              <w:rPr>
                <w:rFonts w:ascii="맑은 고딕" w:hAnsi="맑은 고딕" w:eastAsia="맑은 고딕" w:cs="맑은 고딕"/>
                <w:b/>
                <w:color w:val="000000"/>
                <w:sz w:val="21"/>
              </w:rPr>
              <w:t>※ 간단요약</w:t>
            </w:r>
          </w:p>
        </w:tc>
      </w:tr>
      <w:tr>
        <w:tc>
          <w:tcPr>
            <w:tcW w:type="pct" w:w="5000"/>
            <w:shd w:val="clear" w:color="auto" w:fill="F7F7F7"/>
          </w:tcPr>
          <w:p>
            <w:pPr>
              <w:autoSpaceDN w:val="0"/>
              <w:autoSpaceDE w:val="0"/>
            </w:pPr>
            <w:r>
              <w:rPr>
                <w:rFonts w:ascii="맑은 고딕" w:hAnsi="맑은 고딕" w:eastAsia="맑은 고딕" w:cs="맑은 고딕"/>
                <w:b/>
                <w:color w:val="000000"/>
                <w:sz w:val="19"/>
              </w:rPr>
              <w:t>Q. ‘그 행위자의 사업주’는 누구인가요?</w:t>
            </w:r>
          </w:p>
          <w:p>
            <w:pPr>
              <w:autoSpaceDN w:val="0"/>
              <w:autoSpaceDE w:val="0"/>
            </w:pPr>
            <w:r>
              <w:rPr>
                <w:rFonts w:ascii="맑은 고딕" w:hAnsi="맑은 고딕" w:eastAsia="맑은 고딕" w:cs="맑은 고딕"/>
                <w:color w:val="000000"/>
                <w:sz w:val="19"/>
              </w:rPr>
              <w:t>A. 자기의 사업활동을 위하여 자기의 영향력 내에 있는 행위자를 이용하는 자로서, 그 행위자의 행위로 공공수역이 오염되거나 오염될 우려가 있는 경우의 사업자를 가리킵니다.</w:t>
            </w:r>
          </w:p>
          <w:p>
            <w:pPr>
              <w:autoSpaceDN w:val="0"/>
              <w:autoSpaceDE w:val="0"/>
            </w:pPr>
          </w:p>
          <w:p>
            <w:pPr>
              <w:autoSpaceDN w:val="0"/>
              <w:autoSpaceDE w:val="0"/>
            </w:pPr>
            <w:r>
              <w:rPr>
                <w:rFonts w:ascii="맑은 고딕" w:hAnsi="맑은 고딕" w:eastAsia="맑은 고딕" w:cs="맑은 고딕"/>
                <w:b/>
                <w:color w:val="000000"/>
                <w:sz w:val="19"/>
              </w:rPr>
              <w:t>Q. 재하도급 업체 직원이 낸 사고인데도 원청이 책임지나요?</w:t>
            </w:r>
          </w:p>
          <w:p>
            <w:pPr>
              <w:autoSpaceDN w:val="0"/>
              <w:autoSpaceDE w:val="0"/>
            </w:pPr>
            <w:r>
              <w:rPr>
                <w:rFonts w:ascii="맑은 고딕" w:hAnsi="맑은 고딕" w:eastAsia="맑은 고딕" w:cs="맑은 고딕"/>
                <w:color w:val="000000"/>
                <w:sz w:val="19"/>
              </w:rPr>
              <w:t>A. 그 공사가 자신의 사업활동을 위하여 이루어졌고 실제 작업자가 자신의 영향력 내에 있었다면 방제조치 의무를 부담합니다.</w:t>
            </w:r>
          </w:p>
          <w:p>
            <w:pPr>
              <w:autoSpaceDN w:val="0"/>
              <w:autoSpaceDE w:val="0"/>
            </w:pPr>
          </w:p>
          <w:p>
            <w:pPr>
              <w:autoSpaceDN w:val="0"/>
              <w:autoSpaceDE w:val="0"/>
            </w:pPr>
            <w:r>
              <w:rPr>
                <w:rFonts w:ascii="맑은 고딕" w:hAnsi="맑은 고딕" w:eastAsia="맑은 고딕" w:cs="맑은 고딕"/>
                <w:b/>
                <w:color w:val="000000"/>
                <w:sz w:val="19"/>
              </w:rPr>
              <w:t>Q. 침익적 처분 근거규정은 엄격히 해석해야 하지 않나요?</w:t>
            </w:r>
          </w:p>
          <w:p>
            <w:pPr>
              <w:autoSpaceDN w:val="0"/>
              <w:autoSpaceDE w:val="0"/>
            </w:pPr>
            <w:r>
              <w:rPr>
                <w:rFonts w:ascii="맑은 고딕" w:hAnsi="맑은 고딕" w:eastAsia="맑은 고딕" w:cs="맑은 고딕"/>
                <w:color w:val="000000"/>
                <w:sz w:val="19"/>
              </w:rPr>
              <w:t>A. 엄격해석이 원칙이지만, 문언의 통상적인 의미를 벗어나지 않는 한 입법 취지와 목적 등을 고려한 목적론적 해석이 배제되는 것은 아닙니다.</w:t>
            </w:r>
          </w:p>
        </w:tc>
      </w:tr>
    </w:tbl>
    <w:p>
      <w:pPr>
        <w:autoSpaceDN w:val="0"/>
        <w:autoSpaceDE w:val="0"/>
      </w:pPr>
    </w:p>
    <w:p>
      <w:pPr>
        <w:autoSpaceDN w:val="0"/>
        <w:autoSpaceDE w:val="0"/>
      </w:pPr>
    </w:p>
    <w:p>
      <w:pPr>
        <w:autoSpaceDN w:val="0"/>
        <w:autoSpaceDE w:val="0"/>
        <w:pStyle w:val="2"/>
      </w:pPr>
      <w:r>
        <w:rPr>
          <w:rFonts w:ascii="맑은 고딕" w:hAnsi="맑은 고딕" w:eastAsia="맑은 고딕" w:cs="맑은 고딕"/>
          <w:color w:val="000000"/>
        </w:rPr>
        <w:t>1. 사건 개요</w:t>
      </w:r>
    </w:p>
    <w:tbl>
      <w:tblPr>
        <w:tblW w:type="pct" w:w="5000"/>
        <w:tblLook w:firstColumn="1" w:firstRow="1" w:lastColumn="0" w:lastRow="0" w:noHBand="0" w:noVBand="1" w:val="04A0"/>
        <w:tblBorders>
          <w:top w:val="single" w:sz="14" w:space="0" w:color="808080"/>
          <w:left w:val="single" w:sz="14" w:space="0" w:color="808080"/>
          <w:bottom w:val="single" w:sz="14" w:space="0" w:color="808080"/>
          <w:right w:val="single" w:sz="14" w:space="0" w:color="808080"/>
          <w:insideH w:val="single" w:sz="4" w:space="0" w:color="B7B7B7"/>
          <w:insideV w:val="single" w:sz="4" w:space="0" w:color="B7B7B7"/>
        </w:tblBorders>
      </w:tblPr>
      <w:tblGrid>
        <w:gridCol w:w="4513"/>
        <w:gridCol w:w="4513"/>
      </w:tblGrid>
      <w:tr>
        <w:tc>
          <w:tcPr>
            <w:tcW w:type="pct" w:w="1200"/>
            <w:shd w:val="clear" w:color="auto" w:fill="F2F2F2"/>
          </w:tcPr>
          <w:p>
            <w:pPr>
              <w:autoSpaceDN w:val="0"/>
              <w:autoSpaceDE w:val="0"/>
            </w:pPr>
            <w:r>
              <w:rPr>
                <w:rFonts w:ascii="맑은 고딕" w:hAnsi="맑은 고딕" w:eastAsia="맑은 고딕" w:cs="맑은 고딕"/>
                <w:b/>
                <w:color w:val="000000"/>
                <w:sz w:val="19"/>
              </w:rPr>
              <w:t>사건번호</w:t>
            </w:r>
          </w:p>
        </w:tc>
        <w:tc>
          <w:tcPr>
            <w:tcW w:type="pct" w:w="3800"/>
          </w:tcPr>
          <w:p>
            <w:pPr>
              <w:autoSpaceDN w:val="0"/>
              <w:autoSpaceDE w:val="0"/>
            </w:pPr>
            <w:r>
              <w:rPr>
                <w:rFonts w:ascii="맑은 고딕" w:hAnsi="맑은 고딕" w:eastAsia="맑은 고딕" w:cs="맑은 고딕"/>
                <w:color w:val="000000"/>
                <w:sz w:val="19"/>
              </w:rPr>
              <w:t>2011두2453</w:t>
            </w:r>
          </w:p>
        </w:tc>
      </w:tr>
      <w:tr>
        <w:tc>
          <w:tcPr>
            <w:tcW w:type="pct" w:w="1200"/>
            <w:shd w:val="clear" w:color="auto" w:fill="F2F2F2"/>
          </w:tcPr>
          <w:p>
            <w:pPr>
              <w:autoSpaceDN w:val="0"/>
              <w:autoSpaceDE w:val="0"/>
            </w:pPr>
            <w:r>
              <w:rPr>
                <w:rFonts w:ascii="맑은 고딕" w:hAnsi="맑은 고딕" w:eastAsia="맑은 고딕" w:cs="맑은 고딕"/>
                <w:b/>
                <w:color w:val="000000"/>
                <w:sz w:val="19"/>
              </w:rPr>
              <w:t>선고일자</w:t>
            </w:r>
          </w:p>
        </w:tc>
        <w:tc>
          <w:tcPr>
            <w:tcW w:type="pct" w:w="3800"/>
          </w:tcPr>
          <w:p>
            <w:pPr>
              <w:autoSpaceDN w:val="0"/>
              <w:autoSpaceDE w:val="0"/>
            </w:pPr>
            <w:r>
              <w:rPr>
                <w:rFonts w:ascii="맑은 고딕" w:hAnsi="맑은 고딕" w:eastAsia="맑은 고딕" w:cs="맑은 고딕"/>
                <w:color w:val="000000"/>
                <w:sz w:val="19"/>
              </w:rPr>
              <w:t>2011.12.13</w:t>
            </w:r>
          </w:p>
        </w:tc>
      </w:tr>
      <w:tr>
        <w:tc>
          <w:tcPr>
            <w:tcW w:type="pct" w:w="1200"/>
            <w:shd w:val="clear" w:color="auto" w:fill="F2F2F2"/>
          </w:tcPr>
          <w:p>
            <w:pPr>
              <w:autoSpaceDN w:val="0"/>
              <w:autoSpaceDE w:val="0"/>
            </w:pPr>
            <w:r>
              <w:rPr>
                <w:rFonts w:ascii="맑은 고딕" w:hAnsi="맑은 고딕" w:eastAsia="맑은 고딕" w:cs="맑은 고딕"/>
                <w:b/>
                <w:color w:val="000000"/>
                <w:sz w:val="19"/>
              </w:rPr>
              <w:t>법원</w:t>
            </w:r>
          </w:p>
        </w:tc>
        <w:tc>
          <w:tcPr>
            <w:tcW w:type="pct" w:w="3800"/>
          </w:tcPr>
          <w:p>
            <w:pPr>
              <w:autoSpaceDN w:val="0"/>
              <w:autoSpaceDE w:val="0"/>
            </w:pPr>
            <w:r>
              <w:rPr>
                <w:rFonts w:ascii="맑은 고딕" w:hAnsi="맑은 고딕" w:eastAsia="맑은 고딕" w:cs="맑은 고딕"/>
                <w:color w:val="000000"/>
                <w:sz w:val="19"/>
              </w:rPr>
              <w:t>대법원</w:t>
            </w:r>
          </w:p>
        </w:tc>
      </w:tr>
      <w:tr>
        <w:tc>
          <w:tcPr>
            <w:tcW w:type="pct" w:w="1200"/>
            <w:shd w:val="clear" w:color="auto" w:fill="F2F2F2"/>
          </w:tcPr>
          <w:p>
            <w:pPr>
              <w:autoSpaceDN w:val="0"/>
              <w:autoSpaceDE w:val="0"/>
            </w:pPr>
            <w:r>
              <w:rPr>
                <w:rFonts w:ascii="맑은 고딕" w:hAnsi="맑은 고딕" w:eastAsia="맑은 고딕" w:cs="맑은 고딕"/>
                <w:b/>
                <w:color w:val="000000"/>
                <w:sz w:val="19"/>
              </w:rPr>
              <w:t>당사자</w:t>
            </w:r>
          </w:p>
        </w:tc>
        <w:tc>
          <w:tcPr>
            <w:tcW w:type="pct" w:w="3800"/>
          </w:tcPr>
          <w:p>
            <w:pPr>
              <w:autoSpaceDN w:val="0"/>
              <w:autoSpaceDE w:val="0"/>
            </w:pPr>
            <w:r>
              <w:rPr>
                <w:rFonts w:ascii="맑은 고딕" w:hAnsi="맑은 고딕" w:eastAsia="맑은 고딕" w:cs="맑은 고딕"/>
                <w:color w:val="000000"/>
                <w:sz w:val="19"/>
              </w:rPr>
              <w:t>원고 ○○○ 주식회사(물류창고 자산관리) · 피고 이천시장</w:t>
            </w:r>
          </w:p>
        </w:tc>
      </w:tr>
      <w:tr>
        <w:tc>
          <w:tcPr>
            <w:tcW w:type="pct" w:w="1200"/>
            <w:shd w:val="clear" w:color="auto" w:fill="F2F2F2"/>
          </w:tcPr>
          <w:p>
            <w:pPr>
              <w:autoSpaceDN w:val="0"/>
              <w:autoSpaceDE w:val="0"/>
            </w:pPr>
            <w:r>
              <w:rPr>
                <w:rFonts w:ascii="맑은 고딕" w:hAnsi="맑은 고딕" w:eastAsia="맑은 고딕" w:cs="맑은 고딕"/>
                <w:b/>
                <w:color w:val="000000"/>
                <w:sz w:val="19"/>
              </w:rPr>
              <w:t>사건종류</w:t>
            </w:r>
          </w:p>
        </w:tc>
        <w:tc>
          <w:tcPr>
            <w:tcW w:type="pct" w:w="3800"/>
          </w:tcPr>
          <w:p>
            <w:pPr>
              <w:autoSpaceDN w:val="0"/>
              <w:autoSpaceDE w:val="0"/>
            </w:pPr>
            <w:r>
              <w:rPr>
                <w:rFonts w:ascii="맑은 고딕" w:hAnsi="맑은 고딕" w:eastAsia="맑은 고딕" w:cs="맑은 고딕"/>
                <w:color w:val="000000"/>
                <w:sz w:val="19"/>
              </w:rPr>
              <w:t>일반행정 (행정대집행소용비용납부명령취소)</w:t>
            </w:r>
          </w:p>
        </w:tc>
      </w:tr>
      <w:tr>
        <w:tc>
          <w:tcPr>
            <w:tcW w:type="pct" w:w="1200"/>
            <w:shd w:val="clear" w:color="auto" w:fill="F2F2F2"/>
          </w:tcPr>
          <w:p>
            <w:pPr>
              <w:autoSpaceDN w:val="0"/>
              <w:autoSpaceDE w:val="0"/>
            </w:pPr>
            <w:r>
              <w:rPr>
                <w:rFonts w:ascii="맑은 고딕" w:hAnsi="맑은 고딕" w:eastAsia="맑은 고딕" w:cs="맑은 고딕"/>
                <w:b/>
                <w:color w:val="000000"/>
                <w:sz w:val="19"/>
              </w:rPr>
              <w:t>원심</w:t>
            </w:r>
          </w:p>
        </w:tc>
        <w:tc>
          <w:tcPr>
            <w:tcW w:type="pct" w:w="3800"/>
          </w:tcPr>
          <w:p>
            <w:pPr>
              <w:autoSpaceDN w:val="0"/>
              <w:autoSpaceDE w:val="0"/>
            </w:pPr>
            <w:r>
              <w:rPr>
                <w:rFonts w:ascii="맑은 고딕" w:hAnsi="맑은 고딕" w:eastAsia="맑은 고딕" w:cs="맑은 고딕"/>
                <w:color w:val="000000"/>
                <w:sz w:val="19"/>
              </w:rPr>
              <w:t>서울고법 2010누17719 (2010. 12. 21.)</w:t>
            </w:r>
          </w:p>
        </w:tc>
      </w:tr>
      <w:tr>
        <w:tc>
          <w:tcPr>
            <w:tcW w:type="pct" w:w="1200"/>
            <w:shd w:val="clear" w:color="auto" w:fill="F2F2F2"/>
          </w:tcPr>
          <w:p>
            <w:pPr>
              <w:autoSpaceDN w:val="0"/>
              <w:autoSpaceDE w:val="0"/>
            </w:pPr>
            <w:r>
              <w:rPr>
                <w:rFonts w:ascii="맑은 고딕" w:hAnsi="맑은 고딕" w:eastAsia="맑은 고딕" w:cs="맑은 고딕"/>
                <w:b/>
                <w:color w:val="000000"/>
                <w:sz w:val="19"/>
              </w:rPr>
              <w:t>결과</w:t>
            </w:r>
          </w:p>
        </w:tc>
        <w:tc>
          <w:tcPr>
            <w:tcW w:type="pct" w:w="3800"/>
          </w:tcPr>
          <w:p>
            <w:pPr>
              <w:autoSpaceDN w:val="0"/>
              <w:autoSpaceDE w:val="0"/>
            </w:pPr>
            <w:r>
              <w:rPr>
                <w:rFonts w:ascii="맑은 고딕" w:hAnsi="맑은 고딕" w:eastAsia="맑은 고딕" w:cs="맑은 고딕"/>
                <w:color w:val="000000"/>
                <w:sz w:val="19"/>
              </w:rPr>
              <w:t>상고기각 (원심 확정)</w:t>
            </w:r>
          </w:p>
        </w:tc>
      </w:tr>
    </w:tbl>
    <w:p>
      <w:pPr>
        <w:autoSpaceDN w:val="0"/>
        <w:autoSpaceDE w:val="0"/>
      </w:pPr>
    </w:p>
    <w:p>
      <w:pPr>
        <w:autoSpaceDN w:val="0"/>
        <w:autoSpaceDE w:val="0"/>
      </w:pPr>
    </w:p>
    <w:p>
      <w:pPr>
        <w:autoSpaceDN w:val="0"/>
        <w:autoSpaceDE w:val="0"/>
        <w:pStyle w:val="2"/>
        <w:spacing w:before="80"/>
      </w:pPr>
      <w:r>
        <w:rPr>
          <w:rFonts w:ascii="맑은 고딕" w:hAnsi="맑은 고딕" w:eastAsia="맑은 고딕" w:cs="맑은 고딕"/>
          <w:color w:val="000000"/>
        </w:rPr>
        <w:t>2. 사실관계</w:t>
      </w:r>
    </w:p>
    <w:p>
      <w:pPr>
        <w:autoSpaceDN w:val="0"/>
        <w:autoSpaceDE w:val="0"/>
      </w:pPr>
      <w:r>
        <w:rPr>
          <w:rFonts w:ascii="맑은 고딕" w:hAnsi="맑은 고딕" w:eastAsia="맑은 고딕" w:cs="맑은 고딕"/>
          <w:color w:val="000000"/>
        </w:rPr>
        <w:t>① 원고는 이 사건 물류창고의 전반적인 자산관리업무를 위탁받은 회사로서, 소외 물류회사에 물류창고의 지하 1층을 임대하였다.</w:t>
      </w:r>
      <w:r>
        <w:rPr>
          <w:rFonts w:ascii="맑은 고딕" w:hAnsi="맑은 고딕" w:eastAsia="맑은 고딕" w:cs="맑은 고딕"/>
          <w:color w:val="000000"/>
        </w:rPr>
        <w:br/>
      </w:r>
      <w:r>
        <w:rPr>
          <w:rFonts w:ascii="맑은 고딕" w:hAnsi="맑은 고딕" w:eastAsia="맑은 고딕" w:cs="맑은 고딕"/>
          <w:color w:val="000000"/>
        </w:rPr>
        <w:br/>
      </w:r>
      <w:r>
        <w:rPr>
          <w:rFonts w:ascii="맑은 고딕" w:hAnsi="맑은 고딕" w:eastAsia="맑은 고딕" w:cs="맑은 고딕"/>
          <w:color w:val="000000"/>
        </w:rPr>
        <w:t>② 원고는 임차인의 요구에 따라 물류창고 지하층에 스윙도어 등 설치공사를 하게 되었고, 이를 소외 시공회사에 도급 주었다.</w:t>
      </w:r>
      <w:r>
        <w:rPr>
          <w:rFonts w:ascii="맑은 고딕" w:hAnsi="맑은 고딕" w:eastAsia="맑은 고딕" w:cs="맑은 고딕"/>
          <w:color w:val="000000"/>
        </w:rPr>
        <w:br/>
      </w:r>
      <w:r>
        <w:rPr>
          <w:rFonts w:ascii="맑은 고딕" w:hAnsi="맑은 고딕" w:eastAsia="맑은 고딕" w:cs="맑은 고딕"/>
          <w:color w:val="000000"/>
        </w:rPr>
        <w:br/>
      </w:r>
      <w:r>
        <w:rPr>
          <w:rFonts w:ascii="맑은 고딕" w:hAnsi="맑은 고딕" w:eastAsia="맑은 고딕" w:cs="맑은 고딕"/>
          <w:color w:val="000000"/>
        </w:rPr>
        <w:t>③ 소외 시공회사는 다시 소외인에게 위 설치공사의 일부를 하도급 주었다.</w:t>
      </w:r>
      <w:r>
        <w:rPr>
          <w:rFonts w:ascii="맑은 고딕" w:hAnsi="맑은 고딕" w:eastAsia="맑은 고딕" w:cs="맑은 고딕"/>
          <w:color w:val="000000"/>
        </w:rPr>
        <w:br/>
      </w:r>
      <w:r>
        <w:rPr>
          <w:rFonts w:ascii="맑은 고딕" w:hAnsi="맑은 고딕" w:eastAsia="맑은 고딕" w:cs="맑은 고딕"/>
          <w:color w:val="000000"/>
        </w:rPr>
        <w:br/>
      </w:r>
      <w:r>
        <w:rPr>
          <w:rFonts w:ascii="맑은 고딕" w:hAnsi="맑은 고딕" w:eastAsia="맑은 고딕" w:cs="맑은 고딕"/>
          <w:color w:val="000000"/>
        </w:rPr>
        <w:t>④ 소외인이 물류창고 지하층에서 그의 피용자와 함께 작업을 하다가 화재를 발생시켰고, 이로 인하여 하천이 오염되었다.</w:t>
      </w:r>
      <w:r>
        <w:rPr>
          <w:rFonts w:ascii="맑은 고딕" w:hAnsi="맑은 고딕" w:eastAsia="맑은 고딕" w:cs="맑은 고딕"/>
          <w:color w:val="000000"/>
        </w:rPr>
        <w:br/>
      </w:r>
      <w:r>
        <w:rPr>
          <w:rFonts w:ascii="맑은 고딕" w:hAnsi="맑은 고딕" w:eastAsia="맑은 고딕" w:cs="맑은 고딕"/>
          <w:color w:val="000000"/>
        </w:rPr>
        <w:br/>
      </w:r>
      <w:r>
        <w:rPr>
          <w:rFonts w:ascii="맑은 고딕" w:hAnsi="맑은 고딕" w:eastAsia="맑은 고딕" w:cs="맑은 고딕"/>
          <w:color w:val="000000"/>
        </w:rPr>
        <w:t>⑤ 관할 시장은 원고 등에게 방제조치 이행명령을 하였으나 이행되지 않자 행정대집행을 실시하여 방제작업을 완료한 후, 원고에게 그에 소요된 비용을 연대하여 납부할 것을 명하는 처분을 하였다.</w:t>
      </w:r>
    </w:p>
    <w:p>
      <w:pPr>
        <w:autoSpaceDN w:val="0"/>
        <w:autoSpaceDE w:val="0"/>
      </w:pPr>
    </w:p>
    <w:p>
      <w:pPr>
        <w:autoSpaceDN w:val="0"/>
        <w:autoSpaceDE w:val="0"/>
      </w:pPr>
    </w:p>
    <w:p>
      <w:pPr>
        <w:autoSpaceDN w:val="0"/>
        <w:autoSpaceDE w:val="0"/>
        <w:pStyle w:val="2"/>
        <w:spacing w:before="80"/>
      </w:pPr>
      <w:r>
        <w:rPr>
          <w:rFonts w:ascii="맑은 고딕" w:hAnsi="맑은 고딕" w:eastAsia="맑은 고딕" w:cs="맑은 고딕"/>
          <w:color w:val="000000"/>
        </w:rPr>
        <w:t>3. 쟁점</w:t>
      </w:r>
    </w:p>
    <w:p>
      <w:pPr>
        <w:autoSpaceDN w:val="0"/>
        <w:autoSpaceDE w:val="0"/>
      </w:pPr>
      <w:r>
        <w:rPr>
          <w:rFonts w:ascii="맑은 고딕" w:hAnsi="맑은 고딕" w:eastAsia="맑은 고딕" w:cs="맑은 고딕"/>
          <w:color w:val="000000"/>
          <w:u w:val="single"/>
        </w:rPr>
        <w:t>이 사건의 쟁점은, 수질 및 수생태계 보전에 관한 법률 제15조 제2항에서 정한 ‘그 행위자의 사업주’의 의미와, 여러 단계의 도급을 거쳐 실제 작업을 한 자가 발생시킨 오염에 대하여 원청이 방제조치 의무를 부담하는지 여부이다.</w:t>
      </w:r>
    </w:p>
    <w:p>
      <w:pPr>
        <w:autoSpaceDN w:val="0"/>
        <w:autoSpaceDE w:val="0"/>
      </w:pPr>
    </w:p>
    <w:p>
      <w:pPr>
        <w:autoSpaceDN w:val="0"/>
        <w:autoSpaceDE w:val="0"/>
      </w:pPr>
    </w:p>
    <w:p>
      <w:pPr>
        <w:autoSpaceDN w:val="0"/>
        <w:autoSpaceDE w:val="0"/>
        <w:pStyle w:val="2"/>
        <w:spacing w:before="80"/>
      </w:pPr>
      <w:r>
        <w:rPr>
          <w:rFonts w:ascii="맑은 고딕" w:hAnsi="맑은 고딕" w:eastAsia="맑은 고딕" w:cs="맑은 고딕"/>
          <w:color w:val="000000"/>
        </w:rPr>
        <w:t>4. 판단</w:t>
      </w:r>
    </w:p>
    <w:p>
      <w:pPr>
        <w:autoSpaceDN w:val="0"/>
        <w:autoSpaceDE w:val="0"/>
      </w:pPr>
      <w:r>
        <w:rPr>
          <w:rFonts w:ascii="맑은 고딕" w:hAnsi="맑은 고딕" w:eastAsia="맑은 고딕" w:cs="맑은 고딕"/>
          <w:color w:val="000000"/>
        </w:rPr>
        <w:t>① 원심의 판단 원심은 원고가 시공회사에 대하여 구체적인 지휘·감독권한을 보유하고 있었고 시공회사 역시 하수급인에 대한 지휘·감독권한을 보유하고 있었다는 이유로, 방제책임을 지지 않는다는 원고의 주장을 배척하였다.</w:t>
      </w:r>
      <w:r>
        <w:rPr>
          <w:rFonts w:ascii="맑은 고딕" w:hAnsi="맑은 고딕" w:eastAsia="맑은 고딕" w:cs="맑은 고딕"/>
          <w:color w:val="000000"/>
        </w:rPr>
        <w:br/>
      </w:r>
      <w:r>
        <w:rPr>
          <w:rFonts w:ascii="맑은 고딕" w:hAnsi="맑은 고딕" w:eastAsia="맑은 고딕" w:cs="맑은 고딕"/>
          <w:color w:val="000000"/>
        </w:rPr>
        <w:br/>
      </w:r>
      <w:r>
        <w:rPr>
          <w:rFonts w:ascii="맑은 고딕" w:hAnsi="맑은 고딕" w:eastAsia="맑은 고딕" w:cs="맑은 고딕"/>
          <w:b/>
          <w:color w:val="000000"/>
          <w:u w:val="single"/>
        </w:rPr>
        <w:t>② 대법원의 판단 원심의 이유 설시에 일부 적절하지 않은 점이 있으나, 원고가 방제조치 의무를 부담한다고 본 결론은 정당하다.</w:t>
      </w:r>
      <w:r>
        <w:rPr>
          <w:rFonts w:ascii="맑은 고딕" w:hAnsi="맑은 고딕" w:eastAsia="맑은 고딕" w:cs="맑은 고딕"/>
          <w:color w:val="000000"/>
        </w:rPr>
        <w:br/>
      </w:r>
      <w:r>
        <w:rPr>
          <w:rFonts w:ascii="맑은 고딕" w:hAnsi="맑은 고딕" w:eastAsia="맑은 고딕" w:cs="맑은 고딕"/>
          <w:color w:val="000000"/>
        </w:rPr>
        <w:br/>
      </w:r>
      <w:r>
        <w:rPr>
          <w:rFonts w:ascii="맑은 고딕" w:hAnsi="맑은 고딕" w:eastAsia="맑은 고딕" w:cs="맑은 고딕"/>
          <w:color w:val="000000"/>
        </w:rPr>
        <w:t>③ 침익적 행정처분의 근거가 되는 행정법규는 엄격하게 해석·적용하여야 하고 상대방에게 불리한 방향으로 지나치게 확장해석하거나 유추해석하여서는 안 되지만, 문언의 통상적인 의미를 벗어나지 않는 한 그 입법 취지와 목적 등을 고려한 목적론적 해석이 배제되는 것은 아니다.</w:t>
      </w:r>
      <w:r>
        <w:rPr>
          <w:rFonts w:ascii="맑은 고딕" w:hAnsi="맑은 고딕" w:eastAsia="맑은 고딕" w:cs="맑은 고딕"/>
          <w:color w:val="000000"/>
        </w:rPr>
        <w:br/>
      </w:r>
      <w:r>
        <w:rPr>
          <w:rFonts w:ascii="맑은 고딕" w:hAnsi="맑은 고딕" w:eastAsia="맑은 고딕" w:cs="맑은 고딕"/>
          <w:color w:val="000000"/>
        </w:rPr>
        <w:br/>
      </w:r>
      <w:r>
        <w:rPr>
          <w:rFonts w:ascii="맑은 고딕" w:hAnsi="맑은 고딕" w:eastAsia="맑은 고딕" w:cs="맑은 고딕"/>
          <w:color w:val="000000"/>
        </w:rPr>
        <w:t>④ 이 사건 조항은 공공수역에 특정수질유해물질 등을 누출·유출하거나 분뇨 등을 버리는 행위로 공공수역이 오염되거나 오염될 우려가 있는 경우 ‘그 행위자의 사업주’가 방제조치를 하여야 함을 규정하고 있다.</w:t>
      </w:r>
      <w:r>
        <w:rPr>
          <w:rFonts w:ascii="맑은 고딕" w:hAnsi="맑은 고딕" w:eastAsia="맑은 고딕" w:cs="맑은 고딕"/>
          <w:color w:val="000000"/>
        </w:rPr>
        <w:br/>
      </w:r>
      <w:r>
        <w:rPr>
          <w:rFonts w:ascii="맑은 고딕" w:hAnsi="맑은 고딕" w:eastAsia="맑은 고딕" w:cs="맑은 고딕"/>
          <w:color w:val="000000"/>
        </w:rPr>
        <w:br/>
      </w:r>
      <w:r>
        <w:rPr>
          <w:rFonts w:ascii="맑은 고딕" w:hAnsi="맑은 고딕" w:eastAsia="맑은 고딕" w:cs="맑은 고딕"/>
          <w:b/>
          <w:color w:val="000000"/>
          <w:u w:val="single"/>
        </w:rPr>
        <w:t>⑤ 환경정책기본법이 자기의 행위 또는 사업활동으로 환경오염의 원인을 야기한 자는 그 방지와 회복·복원의 책임을 지고 피해 구제 비용을 부담함을 원칙으로 한다고 규정하고 있는 점 등에 비추어 보아야 한다.</w:t>
      </w:r>
      <w:r>
        <w:rPr>
          <w:rFonts w:ascii="맑은 고딕" w:hAnsi="맑은 고딕" w:eastAsia="맑은 고딕" w:cs="맑은 고딕"/>
          <w:color w:val="000000"/>
        </w:rPr>
        <w:br/>
      </w:r>
      <w:r>
        <w:rPr>
          <w:rFonts w:ascii="맑은 고딕" w:hAnsi="맑은 고딕" w:eastAsia="맑은 고딕" w:cs="맑은 고딕"/>
          <w:color w:val="000000"/>
        </w:rPr>
        <w:br/>
      </w:r>
      <w:r>
        <w:rPr>
          <w:rFonts w:ascii="맑은 고딕" w:hAnsi="맑은 고딕" w:eastAsia="맑은 고딕" w:cs="맑은 고딕"/>
          <w:color w:val="000000"/>
        </w:rPr>
        <w:t>⑥ 그러므로 이 사건 조항의 ‘그 행위자의 사업주’는 자기의 사업활동을 위하여 자기의 영향력 내에 있는 행위자를 이용하는 자로서, 그 행위자의 행위로 인하여 공공수역이 오염되거나 오염될 우려가 있는 경우의 사업자를 가리킨다.</w:t>
      </w:r>
      <w:r>
        <w:rPr>
          <w:rFonts w:ascii="맑은 고딕" w:hAnsi="맑은 고딕" w:eastAsia="맑은 고딕" w:cs="맑은 고딕"/>
          <w:color w:val="000000"/>
        </w:rPr>
        <w:br/>
      </w:r>
      <w:r>
        <w:rPr>
          <w:rFonts w:ascii="맑은 고딕" w:hAnsi="맑은 고딕" w:eastAsia="맑은 고딕" w:cs="맑은 고딕"/>
          <w:color w:val="000000"/>
        </w:rPr>
        <w:br/>
      </w:r>
      <w:r>
        <w:rPr>
          <w:rFonts w:ascii="맑은 고딕" w:hAnsi="맑은 고딕" w:eastAsia="맑은 고딕" w:cs="맑은 고딕"/>
          <w:color w:val="000000"/>
        </w:rPr>
        <w:t>⑦ 따라서 자기의 사업활동을 위하여 자기의 영향력 내에 있는 행위자를 이용하는 사업자는, 특별한 사정이 없는 한 그 행위자가 발생시킨 수질오염에 대하여 ‘그 행위자의 사업주’로서 방제조치 의무를 부담한다.</w:t>
      </w:r>
      <w:r>
        <w:rPr>
          <w:rFonts w:ascii="맑은 고딕" w:hAnsi="맑은 고딕" w:eastAsia="맑은 고딕" w:cs="맑은 고딕"/>
          <w:color w:val="000000"/>
        </w:rPr>
        <w:br/>
      </w:r>
      <w:r>
        <w:rPr>
          <w:rFonts w:ascii="맑은 고딕" w:hAnsi="맑은 고딕" w:eastAsia="맑은 고딕" w:cs="맑은 고딕"/>
          <w:color w:val="000000"/>
        </w:rPr>
        <w:br/>
      </w:r>
      <w:r>
        <w:rPr>
          <w:rFonts w:ascii="맑은 고딕" w:hAnsi="맑은 고딕" w:eastAsia="맑은 고딕" w:cs="맑은 고딕"/>
          <w:b/>
          <w:color w:val="000000"/>
          <w:u w:val="single"/>
        </w:rPr>
        <w:t>⑧ 이 사건 설치공사는 물류창고의 전반적인 자산관리업무를 책임지는 원고의 사업활동을 위하여 이루어졌고, 실제로 공사를 한 하수급인과 그 피용자는 물류창고 관리자인 원고의 영향력 내에 있었으므로, 원고는 방제조치를 하여야 할 사업자에 해당한다.</w:t>
      </w:r>
    </w:p>
    <w:p>
      <w:pPr>
        <w:autoSpaceDN w:val="0"/>
        <w:autoSpaceDE w:val="0"/>
      </w:pPr>
    </w:p>
    <w:p>
      <w:pPr>
        <w:autoSpaceDN w:val="0"/>
        <w:autoSpaceDE w:val="0"/>
      </w:pPr>
    </w:p>
    <w:p>
      <w:pPr>
        <w:autoSpaceDN w:val="0"/>
        <w:autoSpaceDE w:val="0"/>
        <w:pStyle w:val="2"/>
        <w:spacing w:before="80"/>
      </w:pPr>
      <w:r>
        <w:rPr>
          <w:rFonts w:ascii="맑은 고딕" w:hAnsi="맑은 고딕" w:eastAsia="맑은 고딕" w:cs="맑은 고딕"/>
          <w:color w:val="000000"/>
        </w:rPr>
        <w:t>5. 적용 법령</w:t>
      </w:r>
    </w:p>
    <w:tbl>
      <w:tblPr>
        <w:tblW w:type="pct" w:w="5000"/>
        <w:tblLook w:firstColumn="1" w:firstRow="1" w:lastColumn="0" w:lastRow="0" w:noHBand="0" w:noVBand="1" w:val="04A0"/>
        <w:tblBorders>
          <w:top w:val="single" w:sz="14" w:space="0" w:color="808080"/>
          <w:left w:val="single" w:sz="14" w:space="0" w:color="808080"/>
          <w:bottom w:val="single" w:sz="14" w:space="0" w:color="808080"/>
          <w:right w:val="single" w:sz="14" w:space="0" w:color="808080"/>
          <w:insideH w:val="single" w:sz="4" w:space="0" w:color="B7B7B7"/>
          <w:insideV w:val="single" w:sz="4" w:space="0" w:color="B7B7B7"/>
        </w:tblBorders>
      </w:tblPr>
      <w:tblGrid>
        <w:gridCol w:w="4513"/>
        <w:gridCol w:w="4513"/>
      </w:tblGrid>
      <w:tr>
        <w:tc>
          <w:tcPr>
            <w:tcW w:type="pct" w:w="1500"/>
            <w:shd w:val="clear" w:color="auto" w:fill="D9D9D9"/>
            <w:tcBorders>
              <w:bottom w:val="double" w:sz="6" w:space="0" w:color="808080"/>
            </w:tcBorders>
          </w:tcPr>
          <w:p>
            <w:pPr>
              <w:autoSpaceDN w:val="0"/>
              <w:autoSpaceDE w:val="0"/>
            </w:pPr>
            <w:r>
              <w:rPr>
                <w:rFonts w:ascii="맑은 고딕" w:hAnsi="맑은 고딕" w:eastAsia="맑은 고딕" w:cs="맑은 고딕"/>
                <w:b/>
                <w:color w:val="000000"/>
                <w:sz w:val="19"/>
              </w:rPr>
              <w:t>조항</w:t>
            </w:r>
          </w:p>
        </w:tc>
        <w:tc>
          <w:tcPr>
            <w:tcW w:type="pct" w:w="3500"/>
            <w:shd w:val="clear" w:color="auto" w:fill="D9D9D9"/>
            <w:tcBorders>
              <w:bottom w:val="double" w:sz="6" w:space="0" w:color="808080"/>
            </w:tcBorders>
          </w:tcPr>
          <w:p>
            <w:pPr>
              <w:autoSpaceDN w:val="0"/>
              <w:autoSpaceDE w:val="0"/>
            </w:pPr>
            <w:r>
              <w:rPr>
                <w:rFonts w:ascii="맑은 고딕" w:hAnsi="맑은 고딕" w:eastAsia="맑은 고딕" w:cs="맑은 고딕"/>
                <w:b/>
                <w:color w:val="000000"/>
                <w:sz w:val="19"/>
              </w:rPr>
              <w:t>적용 문구</w:t>
            </w:r>
          </w:p>
        </w:tc>
      </w:tr>
      <w:tr>
        <w:tc>
          <w:tcPr>
            <w:tcW w:type="pct" w:w="1500"/>
            <w:shd w:val="clear" w:color="auto" w:fill="F2F2F2"/>
          </w:tcPr>
          <w:p>
            <w:pPr>
              <w:autoSpaceDN w:val="0"/>
              <w:autoSpaceDE w:val="0"/>
            </w:pPr>
            <w:r>
              <w:rPr>
                <w:rFonts w:ascii="맑은 고딕" w:hAnsi="맑은 고딕" w:eastAsia="맑은 고딕" w:cs="맑은 고딕"/>
                <w:b/>
                <w:color w:val="000000"/>
                <w:sz w:val="19"/>
              </w:rPr>
              <w:t>물환경보전법</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제15조 제1항</w:t>
            </w:r>
          </w:p>
        </w:tc>
        <w:tc>
          <w:tcPr>
            <w:tcW w:type="pct" w:w="3500"/>
          </w:tcPr>
          <w:p>
            <w:pPr>
              <w:autoSpaceDN w:val="0"/>
              <w:autoSpaceDE w:val="0"/>
            </w:pPr>
            <w:r>
              <w:rPr>
                <w:rFonts w:ascii="맑은 고딕" w:hAnsi="맑은 고딕" w:eastAsia="맑은 고딕" w:cs="맑은 고딕"/>
                <w:color w:val="000000"/>
                <w:sz w:val="19"/>
              </w:rPr>
              <w:t>누구든지 정당한 사유 없이 공공수역에 특정수질유해물질, 지정폐기물, 유류, 인체등유해성물질, 농약을 누출·유출하거나 버리는 행위, 분뇨·가축분뇨·동물의 사체·폐기물 또는 오니를 버리는 행위 등을 하여서는 아니 된다.</w:t>
            </w:r>
          </w:p>
        </w:tc>
      </w:tr>
      <w:tr>
        <w:tc>
          <w:tcPr>
            <w:tcW w:type="pct" w:w="1500"/>
            <w:shd w:val="clear" w:color="auto" w:fill="F2F2F2"/>
          </w:tcPr>
          <w:p>
            <w:pPr>
              <w:autoSpaceDN w:val="0"/>
              <w:autoSpaceDE w:val="0"/>
            </w:pPr>
            <w:r>
              <w:rPr>
                <w:rFonts w:ascii="맑은 고딕" w:hAnsi="맑은 고딕" w:eastAsia="맑은 고딕" w:cs="맑은 고딕"/>
                <w:b/>
                <w:color w:val="000000"/>
                <w:sz w:val="19"/>
              </w:rPr>
              <w:t>물환경보전법</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제15조 제2항</w:t>
            </w:r>
          </w:p>
        </w:tc>
        <w:tc>
          <w:tcPr>
            <w:tcW w:type="pct" w:w="3500"/>
          </w:tcPr>
          <w:p>
            <w:pPr>
              <w:autoSpaceDN w:val="0"/>
              <w:autoSpaceDE w:val="0"/>
            </w:pPr>
            <w:r>
              <w:rPr>
                <w:rFonts w:ascii="맑은 고딕" w:hAnsi="맑은 고딕" w:eastAsia="맑은 고딕" w:cs="맑은 고딕"/>
                <w:color w:val="000000"/>
                <w:sz w:val="19"/>
              </w:rPr>
              <w:t>제1항 제1호·제2호 또는 제4호의 행위로 공공수역이 오염되거나 오염될 우려가 있는 경우에는 그 행위자, 행위자가 소속된 법인 및 그 행위자의 사업주는 해당 물질을 제거하는 등 오염을 방지·제거하기 위한 조치를 하여야 한다.</w:t>
            </w:r>
          </w:p>
        </w:tc>
      </w:tr>
      <w:tr>
        <w:tc>
          <w:tcPr>
            <w:tcW w:type="pct" w:w="1500"/>
            <w:shd w:val="clear" w:color="auto" w:fill="F2F2F2"/>
          </w:tcPr>
          <w:p>
            <w:pPr>
              <w:autoSpaceDN w:val="0"/>
              <w:autoSpaceDE w:val="0"/>
            </w:pPr>
            <w:r>
              <w:rPr>
                <w:rFonts w:ascii="맑은 고딕" w:hAnsi="맑은 고딕" w:eastAsia="맑은 고딕" w:cs="맑은 고딕"/>
                <w:b/>
                <w:color w:val="000000"/>
                <w:sz w:val="19"/>
              </w:rPr>
              <w:t>물환경보전법</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제15조 제3항·제4항</w:t>
            </w:r>
          </w:p>
        </w:tc>
        <w:tc>
          <w:tcPr>
            <w:tcW w:type="pct" w:w="3500"/>
          </w:tcPr>
          <w:p>
            <w:pPr>
              <w:autoSpaceDN w:val="0"/>
              <w:autoSpaceDE w:val="0"/>
            </w:pPr>
            <w:r>
              <w:rPr>
                <w:rFonts w:ascii="맑은 고딕" w:hAnsi="맑은 고딕" w:eastAsia="맑은 고딕" w:cs="맑은 고딕"/>
                <w:color w:val="000000"/>
                <w:sz w:val="19"/>
              </w:rPr>
              <w:t>③ 시·도지사는 행위자등이 방제조치를 하지 아니하는 경우 그 이행을 명할 수 있다.</w:t>
            </w:r>
            <w:r>
              <w:rPr>
                <w:rFonts w:ascii="맑은 고딕" w:hAnsi="맑은 고딕" w:eastAsia="맑은 고딕" w:cs="맑은 고딕"/>
                <w:color w:val="000000"/>
                <w:sz w:val="19"/>
              </w:rPr>
              <w:br/>
            </w:r>
            <w:r>
              <w:rPr>
                <w:rFonts w:ascii="맑은 고딕" w:hAnsi="맑은 고딕" w:eastAsia="맑은 고딕" w:cs="맑은 고딕"/>
                <w:color w:val="000000"/>
                <w:sz w:val="19"/>
              </w:rPr>
              <w:t>④ 방제조치 명령을 받은 자가 이를 이행하지 아니하는 경우 등에는 해당 방제조치의 대집행을 할 수 있다.</w:t>
            </w:r>
          </w:p>
        </w:tc>
      </w:tr>
      <w:tr>
        <w:tc>
          <w:tcPr>
            <w:tcW w:type="pct" w:w="1500"/>
            <w:shd w:val="clear" w:color="auto" w:fill="F2F2F2"/>
          </w:tcPr>
          <w:p>
            <w:pPr>
              <w:autoSpaceDN w:val="0"/>
              <w:autoSpaceDE w:val="0"/>
            </w:pPr>
            <w:r>
              <w:rPr>
                <w:rFonts w:ascii="맑은 고딕" w:hAnsi="맑은 고딕" w:eastAsia="맑은 고딕" w:cs="맑은 고딕"/>
                <w:b/>
                <w:color w:val="000000"/>
                <w:sz w:val="19"/>
              </w:rPr>
              <w:t>환경정책기본법</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제7조</w:t>
            </w:r>
          </w:p>
        </w:tc>
        <w:tc>
          <w:tcPr>
            <w:tcW w:type="pct" w:w="3500"/>
          </w:tcPr>
          <w:p>
            <w:pPr>
              <w:autoSpaceDN w:val="0"/>
              <w:autoSpaceDE w:val="0"/>
            </w:pPr>
            <w:r>
              <w:rPr>
                <w:rFonts w:ascii="맑은 고딕" w:hAnsi="맑은 고딕" w:eastAsia="맑은 고딕" w:cs="맑은 고딕"/>
                <w:color w:val="000000"/>
                <w:sz w:val="19"/>
              </w:rPr>
              <w:t>자기의 행위 또는 사업활동으로 환경오염 또는 환경훼손의 원인을 발생시킨 자는 그 오염·훼손을 방지하고 오염·훼손된 환경을 회복·복원할 책임을 지며, 환경오염 또는 환경훼손으로 인한 피해의 구제에 드는 비용을 부담함을 원칙으로 한다.</w:t>
            </w:r>
          </w:p>
        </w:tc>
      </w:tr>
      <w:tr>
        <w:tc>
          <w:tcPr>
            <w:tcW w:type="pct" w:w="1500"/>
            <w:shd w:val="clear" w:color="auto" w:fill="F2F2F2"/>
          </w:tcPr>
          <w:p>
            <w:pPr>
              <w:autoSpaceDN w:val="0"/>
              <w:autoSpaceDE w:val="0"/>
            </w:pPr>
            <w:r>
              <w:rPr>
                <w:rFonts w:ascii="맑은 고딕" w:hAnsi="맑은 고딕" w:eastAsia="맑은 고딕" w:cs="맑은 고딕"/>
                <w:b/>
                <w:color w:val="000000"/>
                <w:sz w:val="19"/>
              </w:rPr>
              <w:t>행정대집행법</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제2조</w:t>
            </w:r>
          </w:p>
        </w:tc>
        <w:tc>
          <w:tcPr>
            <w:tcW w:type="pct" w:w="3500"/>
          </w:tcPr>
          <w:p>
            <w:pPr>
              <w:autoSpaceDN w:val="0"/>
              <w:autoSpaceDE w:val="0"/>
            </w:pPr>
            <w:r>
              <w:rPr>
                <w:rFonts w:ascii="맑은 고딕" w:hAnsi="맑은 고딕" w:eastAsia="맑은 고딕" w:cs="맑은 고딕"/>
                <w:color w:val="000000"/>
                <w:sz w:val="19"/>
              </w:rPr>
              <w:t>행정청은 의무자가 대체적 작위의무를 이행하지 아니하는 경우 스스로 의무자가 하여야 할 행위를 하거나 제3자로 하여금 이를 하게 하여 그 비용을 의무자로부터 징수할 수 있다.</w:t>
            </w:r>
          </w:p>
        </w:tc>
      </w:tr>
    </w:tbl>
    <w:p>
      <w:pPr>
        <w:autoSpaceDN w:val="0"/>
        <w:autoSpaceDE w:val="0"/>
        <w:pStyle w:val="note"/>
        <w:spacing w:before="80"/>
      </w:pPr>
      <w:r>
        <w:rPr>
          <w:rFonts w:ascii="맑은 고딕" w:hAnsi="맑은 고딕" w:eastAsia="맑은 고딕" w:cs="맑은 고딕"/>
          <w:color w:val="000000"/>
        </w:rPr>
        <w:t>※ ‘적용 문구’는 현행 조문을 요약한 것으로, 구법이 적용된 사건은 당시 조문과 다를 수 있습니다.</w:t>
      </w:r>
    </w:p>
    <w:p>
      <w:pPr>
        <w:autoSpaceDN w:val="0"/>
        <w:autoSpaceDE w:val="0"/>
        <w:pStyle w:val="note"/>
        <w:spacing w:before="120"/>
      </w:pPr>
      <w:r>
        <w:rPr>
          <w:rFonts w:ascii="맑은 고딕" w:hAnsi="맑은 고딕" w:eastAsia="맑은 고딕" w:cs="맑은 고딕"/>
          <w:color w:val="000000"/>
        </w:rPr>
        <w:t>※ 본 정리는 국가법령정보센터 판례를 정리한 참고자료이며, 구체적 사안은 판결 원문과 전문가 검토가 필요합니다.</w:t>
      </w:r>
    </w:p>
    <w:p>
      <w:pPr>
        <w:autoSpaceDN w:val="0"/>
        <w:autoSpaceDE w:val="0"/>
        <w:spacing w:before="120"/>
      </w:pPr>
      <w:r>
        <w:rPr>
          <w:rFonts w:ascii="맑은 고딕" w:hAnsi="맑은 고딕" w:eastAsia="맑은 고딕" w:cs="맑은 고딕"/>
          <w:color w:val="000000"/>
          <w:sz w:val="18"/>
        </w:rPr>
        <w:t>원문  https://www.law.go.kr/판례/(2011두2453)</w:t>
      </w:r>
    </w:p>
    <w:p>
      <w:pPr>
        <w:autoSpaceDN w:val="0"/>
        <w:autoSpaceDE w:val="0"/>
        <w:spacing w:before="80"/>
      </w:pPr>
      <w:r>
        <w:rPr>
          <w:rFonts w:ascii="맑은 고딕" w:hAnsi="맑은 고딕" w:eastAsia="맑은 고딕" w:cs="맑은 고딕"/>
          <w:color w:val="000000"/>
          <w:sz w:val="18"/>
        </w:rPr>
        <w:t>태그  #물환경보전법 #방제조치 #행위자의사업주 #공공수역 #행정대집행 #하도급 #행정판례 #대법원판례 #2011년판례 #2011두2453 #환경법 #환경인허가 #인허가서대리 #서대리</w:t>
      </w:r>
    </w:p>
    <w:p>
      <w:pPr>
        <w:autoSpaceDN w:val="0"/>
        <w:autoSpaceDE w:val="0"/>
        <w:pStyle w:val="mark"/>
      </w:pPr>
      <w:r>
        <w:rPr>
          <w:rFonts w:ascii="맑은 고딕" w:hAnsi="맑은 고딕" w:eastAsia="맑은 고딕" w:cs="맑은 고딕"/>
          <w:color w:val="000000"/>
        </w:rPr>
        <w:t>인허가 서대리  https://seodaeri.com/</w:t>
      </w:r>
    </w:p>
    <w:sectPr w:rsidR="00B27BFC">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25019F" w14:textId="77777777" w:rsidR="00B27BFC" w:rsidRDefault="00B27BFC" w:rsidP="00F52617">
      <w:r>
        <w:separator/>
      </w:r>
    </w:p>
  </w:endnote>
  <w:endnote w:type="continuationSeparator" w:id="0">
    <w:p w14:paraId="7974C6BA" w14:textId="77777777" w:rsidR="00B27BFC" w:rsidRDefault="00B27BFC" w:rsidP="00F526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CAD215" w14:textId="77777777" w:rsidR="00B27BFC" w:rsidRDefault="00B27BFC" w:rsidP="00F52617">
      <w:r>
        <w:separator/>
      </w:r>
    </w:p>
  </w:footnote>
  <w:footnote w:type="continuationSeparator" w:id="0">
    <w:p w14:paraId="7300C114" w14:textId="77777777" w:rsidR="00B27BFC" w:rsidRDefault="00B27BFC" w:rsidP="00F5261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EB13F6"/>
    <w:multiLevelType w:val="multilevel"/>
    <w:tmpl w:val="EF2AA2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D8A3F22"/>
    <w:multiLevelType w:val="multilevel"/>
    <w:tmpl w:val="801ADF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0AF3513"/>
    <w:multiLevelType w:val="multilevel"/>
    <w:tmpl w:val="A90A5B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B35387B"/>
    <w:multiLevelType w:val="multilevel"/>
    <w:tmpl w:val="0E32E4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02799665">
    <w:abstractNumId w:val="2"/>
  </w:num>
  <w:num w:numId="2" w16cid:durableId="1051461951">
    <w:abstractNumId w:val="0"/>
  </w:num>
  <w:num w:numId="3" w16cid:durableId="1212620573">
    <w:abstractNumId w:val="3"/>
  </w:num>
  <w:num w:numId="4" w16cid:durableId="6274003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80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52617"/>
    <w:rsid w:val="00A42A17"/>
    <w:rsid w:val="00B27BFC"/>
    <w:rsid w:val="00F5261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DF796CA"/>
  <w15:chartTrackingRefBased/>
  <w15:docId w15:val="{AB8F6F78-766D-4920-A396-8027FE2C1B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굴림" w:eastAsia="굴림" w:hAnsi="굴림" w:cs="굴림"/>
      <w:sz w:val="24"/>
      <w:szCs w:val="24"/>
    </w:rPr>
  </w:style>
  <w:style w:type="paragraph" w:styleId="1">
    <w:name w:val="heading 1"/>
    <w:basedOn w:val="a"/>
    <w:link w:val="1Char"/>
    <w:uiPriority w:val="9"/>
    <w:qFormat/>
    <w:pPr>
      <w:spacing w:before="100" w:beforeAutospacing="1" w:after="100" w:afterAutospacing="1"/>
      <w:outlineLvl w:val="0"/>
    </w:pPr>
    <w:rPr>
      <w:b/>
      <w:bCs/>
      <w:kern w:val="36"/>
      <w:sz w:val="48"/>
      <w:szCs w:val="48"/>
    </w:rPr>
  </w:style>
  <w:style w:type="paragraph" w:styleId="2">
    <w:name w:val="heading 2"/>
    <w:basedOn w:val="a"/>
    <w:link w:val="2Char"/>
    <w:uiPriority w:val="9"/>
    <w:qFormat/>
    <w:pPr>
      <w:spacing w:before="450" w:after="150"/>
      <w:outlineLvl w:val="1"/>
    </w:pPr>
    <w:rPr>
      <w:b/>
      <w:bCs/>
      <w:sz w:val="23"/>
      <w:szCs w:val="23"/>
    </w:rPr>
  </w:style>
  <w:style w:type="paragraph" w:styleId="3">
    <w:name w:val="heading 3"/>
    <w:basedOn w:val="a"/>
    <w:link w:val="3Char"/>
    <w:uiPriority w:val="9"/>
    <w:qFormat/>
    <w:pPr>
      <w:spacing w:before="165" w:after="75"/>
      <w:outlineLvl w:val="2"/>
    </w:pPr>
    <w:rPr>
      <w:b/>
      <w:bCs/>
      <w:sz w:val="20"/>
      <w:szCs w:val="20"/>
    </w:rPr>
  </w:style>
  <w:style w:type="paragraph" w:styleId="4">
    <w:name w:val="heading 4"/>
    <w:basedOn w:val="a"/>
    <w:link w:val="4Char"/>
    <w:uiPriority w:val="9"/>
    <w:qFormat/>
    <w:pPr>
      <w:spacing w:before="210" w:after="75"/>
      <w:outlineLvl w:val="3"/>
    </w:pPr>
    <w:rPr>
      <w:b/>
      <w:bCs/>
      <w:sz w:val="19"/>
      <w:szCs w:val="19"/>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trPr>
      <w:hidden/>
    </w:trPr>
  </w:style>
  <w:style w:type="numbering" w:default="1" w:styleId="a2">
    <w:name w:val="No List"/>
    <w:uiPriority w:val="99"/>
    <w:semiHidden/>
    <w:unhideWhenUsed/>
  </w:style>
  <w:style w:type="character" w:customStyle="1" w:styleId="1Char">
    <w:name w:val="제목 1 Char"/>
    <w:basedOn w:val="a0"/>
    <w:link w:val="1"/>
    <w:uiPriority w:val="9"/>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Pr>
      <w:rFonts w:asciiTheme="majorHAnsi" w:eastAsiaTheme="majorEastAsia" w:hAnsiTheme="majorHAnsi" w:cstheme="majorBidi"/>
      <w:color w:val="000000" w:themeColor="text1"/>
      <w:sz w:val="24"/>
      <w:szCs w:val="24"/>
    </w:rPr>
  </w:style>
  <w:style w:type="character" w:customStyle="1" w:styleId="4Char">
    <w:name w:val="제목 4 Char"/>
    <w:basedOn w:val="a0"/>
    <w:link w:val="4"/>
    <w:uiPriority w:val="9"/>
    <w:semiHidden/>
    <w:rPr>
      <w:rFonts w:asciiTheme="majorHAnsi" w:eastAsiaTheme="majorEastAsia" w:hAnsiTheme="majorHAnsi" w:cstheme="majorBidi"/>
      <w:color w:val="000000" w:themeColor="text1"/>
      <w:sz w:val="24"/>
      <w:szCs w:val="24"/>
    </w:rPr>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customStyle="1" w:styleId="page">
    <w:name w:val="page"/>
    <w:basedOn w:val="a"/>
    <w:pPr>
      <w:shd w:val="clear" w:color="auto" w:fill="FFFFFF"/>
    </w:pPr>
  </w:style>
  <w:style w:type="paragraph" w:customStyle="1" w:styleId="toolbar">
    <w:name w:val="toolbar"/>
    <w:basedOn w:val="a"/>
    <w:pPr>
      <w:jc w:val="right"/>
    </w:pPr>
    <w:rPr>
      <w:vanish/>
    </w:rPr>
  </w:style>
  <w:style w:type="paragraph" w:customStyle="1" w:styleId="btn">
    <w:name w:val="btn"/>
    <w:basedOn w:val="a"/>
    <w:pPr>
      <w:pBdr>
        <w:top w:val="single" w:sz="6" w:space="4" w:color="999999"/>
        <w:left w:val="single" w:sz="6" w:space="11" w:color="999999"/>
        <w:bottom w:val="single" w:sz="6" w:space="4" w:color="999999"/>
        <w:right w:val="single" w:sz="6" w:space="11" w:color="999999"/>
      </w:pBdr>
      <w:shd w:val="clear" w:color="auto" w:fill="FFFFFF"/>
      <w:spacing w:before="100" w:beforeAutospacing="1" w:after="100" w:afterAutospacing="1"/>
    </w:pPr>
    <w:rPr>
      <w:color w:val="333333"/>
      <w:sz w:val="18"/>
      <w:szCs w:val="18"/>
    </w:rPr>
  </w:style>
  <w:style w:type="paragraph" w:customStyle="1" w:styleId="doc-head">
    <w:name w:val="doc-head"/>
    <w:basedOn w:val="a"/>
    <w:pPr>
      <w:spacing w:before="100" w:beforeAutospacing="1" w:after="270"/>
      <w:jc w:val="center"/>
    </w:pPr>
  </w:style>
  <w:style w:type="paragraph" w:customStyle="1" w:styleId="bt">
    <w:name w:val="bt"/>
    <w:basedOn w:val="a"/>
    <w:pPr>
      <w:spacing w:before="75" w:after="45"/>
    </w:pPr>
    <w:rPr>
      <w:sz w:val="19"/>
      <w:szCs w:val="19"/>
    </w:rPr>
  </w:style>
  <w:style w:type="paragraph" w:customStyle="1" w:styleId="law-box">
    <w:name w:val="law-box"/>
    <w:basedOn w:val="a"/>
    <w:pPr>
      <w:shd w:val="clear" w:color="auto" w:fill="FBFBFB"/>
      <w:spacing w:before="120" w:after="60"/>
    </w:pPr>
  </w:style>
  <w:style w:type="paragraph" w:customStyle="1" w:styleId="note">
    <w:name w:val="note"/>
    <w:basedOn w:val="a"/>
    <w:pPr>
      <w:spacing w:before="105"/>
      <w:ind w:hanging="225"/>
    </w:pPr>
    <w:rPr>
      <w:b/>
      <w:bCs/>
      <w:sz w:val="19"/>
      <w:szCs w:val="19"/>
    </w:rPr>
  </w:style>
  <w:style w:type="paragraph" w:customStyle="1" w:styleId="src">
    <w:name w:val="src"/>
    <w:basedOn w:val="a"/>
    <w:pPr>
      <w:spacing w:before="90"/>
    </w:pPr>
    <w:rPr>
      <w:sz w:val="17"/>
      <w:szCs w:val="17"/>
    </w:rPr>
  </w:style>
  <w:style w:type="paragraph" w:customStyle="1" w:styleId="mark">
    <w:name w:val="mark"/>
    <w:basedOn w:val="a"/>
    <w:pPr>
      <w:spacing w:before="90"/>
      <w:jc w:val="right"/>
    </w:pPr>
    <w:rPr>
      <w:b/>
      <w:bCs/>
      <w:color w:val="9A9A9A"/>
      <w:spacing w:val="3"/>
      <w:sz w:val="17"/>
      <w:szCs w:val="17"/>
    </w:rPr>
  </w:style>
  <w:style w:type="paragraph" w:customStyle="1" w:styleId="runfoot">
    <w:name w:val="runfoot"/>
    <w:basedOn w:val="a"/>
    <w:pPr>
      <w:spacing w:before="240" w:after="100" w:afterAutospacing="1"/>
    </w:pPr>
    <w:rPr>
      <w:b/>
      <w:bCs/>
      <w:color w:val="666666"/>
      <w:sz w:val="17"/>
      <w:szCs w:val="17"/>
    </w:rPr>
  </w:style>
  <w:style w:type="paragraph" w:customStyle="1" w:styleId="sm">
    <w:name w:val="sm"/>
    <w:basedOn w:val="a"/>
    <w:pPr>
      <w:spacing w:before="100" w:beforeAutospacing="1" w:after="100" w:afterAutospacing="1"/>
    </w:pPr>
  </w:style>
  <w:style w:type="paragraph" w:customStyle="1" w:styleId="law">
    <w:name w:val="law"/>
    <w:basedOn w:val="a"/>
    <w:pPr>
      <w:spacing w:before="100" w:beforeAutospacing="1" w:after="100" w:afterAutospacing="1"/>
    </w:pPr>
  </w:style>
  <w:style w:type="paragraph" w:customStyle="1" w:styleId="rule">
    <w:name w:val="rule"/>
    <w:basedOn w:val="a"/>
    <w:pPr>
      <w:spacing w:before="100" w:beforeAutospacing="1" w:after="100" w:afterAutospacing="1"/>
    </w:pPr>
  </w:style>
  <w:style w:type="paragraph" w:customStyle="1" w:styleId="sep">
    <w:name w:val="sep"/>
    <w:basedOn w:val="a"/>
    <w:pPr>
      <w:spacing w:before="100" w:beforeAutospacing="1" w:after="100" w:afterAutospacing="1"/>
    </w:pPr>
  </w:style>
  <w:style w:type="paragraph" w:customStyle="1" w:styleId="grp">
    <w:name w:val="grp"/>
    <w:basedOn w:val="a"/>
    <w:pPr>
      <w:spacing w:before="100" w:beforeAutospacing="1" w:after="100" w:afterAutospacing="1"/>
    </w:pPr>
  </w:style>
  <w:style w:type="paragraph" w:customStyle="1" w:styleId="v">
    <w:name w:val="v"/>
    <w:basedOn w:val="a"/>
    <w:pPr>
      <w:spacing w:before="100" w:beforeAutospacing="1" w:after="100" w:afterAutospacing="1"/>
    </w:pPr>
  </w:style>
  <w:style w:type="paragraph" w:customStyle="1" w:styleId="ctr">
    <w:name w:val="ctr"/>
    <w:basedOn w:val="a"/>
    <w:pPr>
      <w:spacing w:before="100" w:beforeAutospacing="1" w:after="100" w:afterAutospacing="1"/>
    </w:pPr>
  </w:style>
  <w:style w:type="paragraph" w:customStyle="1" w:styleId="key">
    <w:name w:val="key"/>
    <w:basedOn w:val="a"/>
    <w:pPr>
      <w:spacing w:before="100" w:beforeAutospacing="1" w:after="100" w:afterAutospacing="1"/>
    </w:pPr>
  </w:style>
  <w:style w:type="paragraph" w:customStyle="1" w:styleId="lw">
    <w:name w:val="lw"/>
    <w:basedOn w:val="a"/>
    <w:pPr>
      <w:spacing w:before="100" w:beforeAutospacing="1" w:after="100" w:afterAutospacing="1"/>
    </w:pPr>
  </w:style>
  <w:style w:type="paragraph" w:customStyle="1" w:styleId="na">
    <w:name w:val="na"/>
    <w:basedOn w:val="a"/>
    <w:pPr>
      <w:spacing w:before="100" w:beforeAutospacing="1" w:after="100" w:afterAutospacing="1"/>
    </w:pPr>
  </w:style>
  <w:style w:type="paragraph" w:customStyle="1" w:styleId="cite">
    <w:name w:val="cite"/>
    <w:basedOn w:val="a"/>
    <w:pPr>
      <w:spacing w:before="100" w:beforeAutospacing="1" w:after="100" w:afterAutospacing="1"/>
    </w:pPr>
  </w:style>
  <w:style w:type="paragraph" w:customStyle="1" w:styleId="body">
    <w:name w:val="body"/>
    <w:basedOn w:val="a"/>
    <w:pPr>
      <w:spacing w:before="100" w:beforeAutospacing="1" w:after="100" w:afterAutospacing="1"/>
    </w:pPr>
  </w:style>
  <w:style w:type="paragraph" w:customStyle="1" w:styleId="u">
    <w:name w:val="u"/>
    <w:basedOn w:val="a"/>
    <w:pPr>
      <w:spacing w:before="100" w:beforeAutospacing="1" w:after="100" w:afterAutospacing="1"/>
    </w:pPr>
  </w:style>
  <w:style w:type="paragraph" w:customStyle="1" w:styleId="brand">
    <w:name w:val="brand"/>
    <w:basedOn w:val="a"/>
    <w:pPr>
      <w:spacing w:before="100" w:beforeAutospacing="1" w:after="100" w:afterAutospacing="1"/>
    </w:pPr>
  </w:style>
  <w:style w:type="paragraph" w:customStyle="1" w:styleId="url">
    <w:name w:val="url"/>
    <w:basedOn w:val="a"/>
    <w:pPr>
      <w:spacing w:before="100" w:beforeAutospacing="1" w:after="100" w:afterAutospacing="1"/>
    </w:pPr>
  </w:style>
  <w:style w:type="paragraph" w:customStyle="1" w:styleId="ho">
    <w:name w:val="ho"/>
    <w:basedOn w:val="a"/>
    <w:pPr>
      <w:spacing w:before="100" w:beforeAutospacing="1" w:after="100" w:afterAutospacing="1"/>
    </w:pPr>
  </w:style>
  <w:style w:type="paragraph" w:customStyle="1" w:styleId="mok">
    <w:name w:val="mok"/>
    <w:basedOn w:val="a"/>
    <w:pPr>
      <w:spacing w:before="100" w:beforeAutospacing="1" w:after="100" w:afterAutospacing="1"/>
    </w:pPr>
  </w:style>
  <w:style w:type="paragraph" w:customStyle="1" w:styleId="amend">
    <w:name w:val="amend"/>
    <w:basedOn w:val="a"/>
    <w:pPr>
      <w:spacing w:before="100" w:beforeAutospacing="1" w:after="100" w:afterAutospacing="1"/>
    </w:pPr>
  </w:style>
  <w:style w:type="paragraph" w:customStyle="1" w:styleId="bigo-t">
    <w:name w:val="bigo-t"/>
    <w:basedOn w:val="a"/>
    <w:pPr>
      <w:spacing w:before="100" w:beforeAutospacing="1" w:after="100" w:afterAutospacing="1"/>
    </w:pPr>
  </w:style>
  <w:style w:type="paragraph" w:customStyle="1" w:styleId="eq">
    <w:name w:val="eq"/>
    <w:basedOn w:val="a"/>
    <w:pPr>
      <w:spacing w:before="100" w:beforeAutospacing="1" w:after="100" w:afterAutospacing="1"/>
    </w:pPr>
  </w:style>
  <w:style w:type="paragraph" w:customStyle="1" w:styleId="law1">
    <w:name w:val="law1"/>
    <w:basedOn w:val="a"/>
    <w:pPr>
      <w:spacing w:after="180"/>
    </w:pPr>
    <w:rPr>
      <w:sz w:val="19"/>
      <w:szCs w:val="19"/>
    </w:rPr>
  </w:style>
  <w:style w:type="paragraph" w:customStyle="1" w:styleId="rule1">
    <w:name w:val="rule1"/>
    <w:basedOn w:val="a"/>
  </w:style>
  <w:style w:type="paragraph" w:customStyle="1" w:styleId="sm1">
    <w:name w:val="sm1"/>
    <w:basedOn w:val="a"/>
    <w:pPr>
      <w:spacing w:before="100" w:beforeAutospacing="1" w:after="100" w:afterAutospacing="1"/>
      <w:ind w:left="90"/>
    </w:pPr>
    <w:rPr>
      <w:sz w:val="17"/>
      <w:szCs w:val="17"/>
    </w:rPr>
  </w:style>
  <w:style w:type="paragraph" w:customStyle="1" w:styleId="sep1">
    <w:name w:val="sep1"/>
    <w:basedOn w:val="a"/>
    <w:pPr>
      <w:pBdr>
        <w:left w:val="single" w:sz="6" w:space="0" w:color="E0E0E0"/>
      </w:pBdr>
      <w:spacing w:before="100" w:beforeAutospacing="1" w:after="100" w:afterAutospacing="1"/>
    </w:pPr>
  </w:style>
  <w:style w:type="paragraph" w:customStyle="1" w:styleId="grp1">
    <w:name w:val="grp1"/>
    <w:basedOn w:val="a"/>
    <w:pPr>
      <w:shd w:val="clear" w:color="auto" w:fill="F5F5F5"/>
      <w:spacing w:before="100" w:beforeAutospacing="1" w:after="100" w:afterAutospacing="1"/>
      <w:jc w:val="center"/>
      <w:textAlignment w:val="center"/>
    </w:pPr>
    <w:rPr>
      <w:b/>
      <w:bCs/>
    </w:rPr>
  </w:style>
  <w:style w:type="paragraph" w:customStyle="1" w:styleId="v1">
    <w:name w:val="v1"/>
    <w:basedOn w:val="a"/>
    <w:pPr>
      <w:spacing w:before="100" w:beforeAutospacing="1" w:after="100" w:afterAutospacing="1"/>
      <w:textAlignment w:val="center"/>
    </w:pPr>
  </w:style>
  <w:style w:type="paragraph" w:customStyle="1" w:styleId="ctr1">
    <w:name w:val="ctr1"/>
    <w:basedOn w:val="a"/>
    <w:pPr>
      <w:spacing w:before="100" w:beforeAutospacing="1" w:after="100" w:afterAutospacing="1"/>
      <w:jc w:val="center"/>
    </w:pPr>
  </w:style>
  <w:style w:type="paragraph" w:customStyle="1" w:styleId="key1">
    <w:name w:val="key1"/>
    <w:basedOn w:val="a"/>
    <w:pPr>
      <w:spacing w:before="100" w:beforeAutospacing="1" w:after="100" w:afterAutospacing="1"/>
    </w:pPr>
    <w:rPr>
      <w:b/>
      <w:bCs/>
    </w:rPr>
  </w:style>
  <w:style w:type="paragraph" w:customStyle="1" w:styleId="lw1">
    <w:name w:val="lw1"/>
    <w:basedOn w:val="a"/>
    <w:pPr>
      <w:spacing w:before="100" w:beforeAutospacing="1" w:after="100" w:afterAutospacing="1"/>
      <w:ind w:left="60"/>
    </w:pPr>
    <w:rPr>
      <w:sz w:val="17"/>
      <w:szCs w:val="17"/>
    </w:rPr>
  </w:style>
  <w:style w:type="paragraph" w:customStyle="1" w:styleId="na1">
    <w:name w:val="na1"/>
    <w:basedOn w:val="a"/>
    <w:pPr>
      <w:spacing w:before="100" w:beforeAutospacing="1" w:after="100" w:afterAutospacing="1"/>
    </w:pPr>
    <w:rPr>
      <w:color w:val="8A8A8A"/>
    </w:rPr>
  </w:style>
  <w:style w:type="paragraph" w:customStyle="1" w:styleId="cite1">
    <w:name w:val="cite1"/>
    <w:basedOn w:val="a"/>
    <w:pPr>
      <w:spacing w:after="90"/>
    </w:pPr>
    <w:rPr>
      <w:b/>
      <w:bCs/>
      <w:sz w:val="17"/>
      <w:szCs w:val="17"/>
    </w:rPr>
  </w:style>
  <w:style w:type="paragraph" w:customStyle="1" w:styleId="body1">
    <w:name w:val="body1"/>
    <w:basedOn w:val="a"/>
    <w:pPr>
      <w:spacing w:before="100" w:beforeAutospacing="1" w:after="100" w:afterAutospacing="1"/>
    </w:pPr>
    <w:rPr>
      <w:color w:val="000000"/>
      <w:sz w:val="19"/>
      <w:szCs w:val="19"/>
    </w:rPr>
  </w:style>
  <w:style w:type="paragraph" w:customStyle="1" w:styleId="ho1">
    <w:name w:val="ho1"/>
    <w:basedOn w:val="a"/>
    <w:pPr>
      <w:spacing w:after="75"/>
    </w:pPr>
  </w:style>
  <w:style w:type="paragraph" w:customStyle="1" w:styleId="mok1">
    <w:name w:val="mok1"/>
    <w:basedOn w:val="a"/>
    <w:pPr>
      <w:spacing w:after="75"/>
    </w:pPr>
  </w:style>
  <w:style w:type="paragraph" w:customStyle="1" w:styleId="amend1">
    <w:name w:val="amend1"/>
    <w:basedOn w:val="a"/>
    <w:pPr>
      <w:spacing w:after="75"/>
    </w:pPr>
    <w:rPr>
      <w:sz w:val="16"/>
      <w:szCs w:val="16"/>
    </w:rPr>
  </w:style>
  <w:style w:type="paragraph" w:customStyle="1" w:styleId="bigo-t1">
    <w:name w:val="bigo-t1"/>
    <w:basedOn w:val="a"/>
    <w:pPr>
      <w:spacing w:before="120" w:after="45"/>
    </w:pPr>
    <w:rPr>
      <w:rFonts w:ascii="맑은 고딕" w:eastAsia="맑은 고딕" w:hAnsi="맑은 고딕"/>
      <w:b/>
      <w:bCs/>
      <w:sz w:val="17"/>
      <w:szCs w:val="17"/>
    </w:rPr>
  </w:style>
  <w:style w:type="paragraph" w:customStyle="1" w:styleId="eq1">
    <w:name w:val="eq1"/>
    <w:basedOn w:val="a"/>
    <w:pPr>
      <w:spacing w:before="75" w:after="75"/>
    </w:pPr>
  </w:style>
  <w:style w:type="paragraph" w:customStyle="1" w:styleId="u1">
    <w:name w:val="u1"/>
    <w:basedOn w:val="a"/>
    <w:pPr>
      <w:spacing w:before="100" w:beforeAutospacing="1" w:after="100" w:afterAutospacing="1"/>
      <w:ind w:left="60"/>
    </w:pPr>
    <w:rPr>
      <w:b/>
      <w:bCs/>
      <w:color w:val="B0B0B0"/>
    </w:rPr>
  </w:style>
  <w:style w:type="paragraph" w:customStyle="1" w:styleId="brand1">
    <w:name w:val="brand1"/>
    <w:basedOn w:val="a"/>
    <w:pPr>
      <w:spacing w:before="100" w:beforeAutospacing="1" w:after="100" w:afterAutospacing="1"/>
    </w:pPr>
    <w:rPr>
      <w:b/>
      <w:bCs/>
      <w:color w:val="555555"/>
    </w:rPr>
  </w:style>
  <w:style w:type="paragraph" w:customStyle="1" w:styleId="url1">
    <w:name w:val="url1"/>
    <w:basedOn w:val="a"/>
    <w:pPr>
      <w:spacing w:before="100" w:beforeAutospacing="1" w:after="100" w:afterAutospacing="1"/>
    </w:pPr>
    <w:rPr>
      <w:color w:val="777777"/>
    </w:rPr>
  </w:style>
  <w:style w:type="character" w:customStyle="1" w:styleId="amend2">
    <w:name w:val="amend2"/>
    <w:basedOn w:val="a0"/>
    <w:rPr>
      <w:sz w:val="16"/>
      <w:szCs w:val="16"/>
    </w:rPr>
  </w:style>
  <w:style w:type="paragraph" w:styleId="a4">
    <w:name w:val="header"/>
    <w:basedOn w:val="a"/>
    <w:link w:val="Char"/>
    <w:uiPriority w:val="99"/>
    <w:unhideWhenUsed/>
    <w:rsid w:val="00F52617"/>
    <w:pPr>
      <w:tabs>
        <w:tab w:val="center" w:pos="4513"/>
        <w:tab w:val="right" w:pos="9026"/>
      </w:tabs>
      <w:snapToGrid w:val="0"/>
    </w:pPr>
  </w:style>
  <w:style w:type="character" w:customStyle="1" w:styleId="Char">
    <w:name w:val="머리글 Char"/>
    <w:basedOn w:val="a0"/>
    <w:link w:val="a4"/>
    <w:uiPriority w:val="99"/>
    <w:rsid w:val="00F52617"/>
    <w:rPr>
      <w:rFonts w:ascii="굴림" w:eastAsia="굴림" w:hAnsi="굴림" w:cs="굴림"/>
      <w:sz w:val="24"/>
      <w:szCs w:val="24"/>
    </w:rPr>
  </w:style>
  <w:style w:type="paragraph" w:styleId="a5">
    <w:name w:val="footer"/>
    <w:basedOn w:val="a"/>
    <w:link w:val="Char0"/>
    <w:uiPriority w:val="99"/>
    <w:unhideWhenUsed/>
    <w:rsid w:val="00F52617"/>
    <w:pPr>
      <w:tabs>
        <w:tab w:val="center" w:pos="4513"/>
        <w:tab w:val="right" w:pos="9026"/>
      </w:tabs>
      <w:snapToGrid w:val="0"/>
    </w:pPr>
  </w:style>
  <w:style w:type="character" w:customStyle="1" w:styleId="Char0">
    <w:name w:val="바닥글 Char"/>
    <w:basedOn w:val="a0"/>
    <w:link w:val="a5"/>
    <w:uiPriority w:val="99"/>
    <w:rsid w:val="00F52617"/>
    <w:rPr>
      <w:rFonts w:ascii="굴림" w:eastAsia="굴림" w:hAnsi="굴림" w:cs="굴림"/>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857381">
      <w:marLeft w:val="0"/>
      <w:marRight w:val="0"/>
      <w:marTop w:val="0"/>
      <w:marBottom w:val="0"/>
      <w:divBdr>
        <w:top w:val="none" w:sz="0" w:space="0" w:color="auto"/>
        <w:left w:val="none" w:sz="0" w:space="0" w:color="auto"/>
        <w:bottom w:val="none" w:sz="0" w:space="0" w:color="auto"/>
        <w:right w:val="none" w:sz="0" w:space="0" w:color="auto"/>
      </w:divBdr>
      <w:divsChild>
        <w:div w:id="62219238">
          <w:marLeft w:val="0"/>
          <w:marRight w:val="0"/>
          <w:marTop w:val="0"/>
          <w:marBottom w:val="270"/>
          <w:divBdr>
            <w:top w:val="none" w:sz="0" w:space="0" w:color="auto"/>
            <w:left w:val="none" w:sz="0" w:space="0" w:color="auto"/>
            <w:bottom w:val="none" w:sz="0" w:space="0" w:color="auto"/>
            <w:right w:val="none" w:sz="0" w:space="0" w:color="auto"/>
          </w:divBdr>
        </w:div>
        <w:div w:id="327709656">
          <w:marLeft w:val="0"/>
          <w:marRight w:val="0"/>
          <w:marTop w:val="120"/>
          <w:marBottom w:val="60"/>
          <w:divBdr>
            <w:top w:val="none" w:sz="0" w:space="0" w:color="auto"/>
            <w:left w:val="none" w:sz="0" w:space="0" w:color="auto"/>
            <w:bottom w:val="none" w:sz="0" w:space="0" w:color="auto"/>
            <w:right w:val="none" w:sz="0" w:space="0" w:color="auto"/>
          </w:divBdr>
          <w:divsChild>
            <w:div w:id="663360407">
              <w:marLeft w:val="0"/>
              <w:marRight w:val="0"/>
              <w:marTop w:val="0"/>
              <w:marBottom w:val="0"/>
              <w:divBdr>
                <w:top w:val="none" w:sz="0" w:space="0" w:color="auto"/>
                <w:left w:val="none" w:sz="0" w:space="0" w:color="auto"/>
                <w:bottom w:val="none" w:sz="0" w:space="0" w:color="auto"/>
                <w:right w:val="none" w:sz="0" w:space="0" w:color="auto"/>
              </w:divBdr>
            </w:div>
          </w:divsChild>
        </w:div>
        <w:div w:id="1240868215">
          <w:marLeft w:val="0"/>
          <w:marRight w:val="0"/>
          <w:marTop w:val="120"/>
          <w:marBottom w:val="60"/>
          <w:divBdr>
            <w:top w:val="none" w:sz="0" w:space="0" w:color="auto"/>
            <w:left w:val="none" w:sz="0" w:space="0" w:color="auto"/>
            <w:bottom w:val="none" w:sz="0" w:space="0" w:color="auto"/>
            <w:right w:val="none" w:sz="0" w:space="0" w:color="auto"/>
          </w:divBdr>
          <w:divsChild>
            <w:div w:id="1496334653">
              <w:marLeft w:val="0"/>
              <w:marRight w:val="0"/>
              <w:marTop w:val="0"/>
              <w:marBottom w:val="0"/>
              <w:divBdr>
                <w:top w:val="none" w:sz="0" w:space="0" w:color="auto"/>
                <w:left w:val="none" w:sz="0" w:space="0" w:color="auto"/>
                <w:bottom w:val="none" w:sz="0" w:space="0" w:color="auto"/>
                <w:right w:val="none" w:sz="0" w:space="0" w:color="auto"/>
              </w:divBdr>
            </w:div>
          </w:divsChild>
        </w:div>
        <w:div w:id="712464575">
          <w:marLeft w:val="0"/>
          <w:marRight w:val="0"/>
          <w:marTop w:val="120"/>
          <w:marBottom w:val="60"/>
          <w:divBdr>
            <w:top w:val="none" w:sz="0" w:space="0" w:color="auto"/>
            <w:left w:val="none" w:sz="0" w:space="0" w:color="auto"/>
            <w:bottom w:val="none" w:sz="0" w:space="0" w:color="auto"/>
            <w:right w:val="none" w:sz="0" w:space="0" w:color="auto"/>
          </w:divBdr>
          <w:divsChild>
            <w:div w:id="1494491713">
              <w:marLeft w:val="0"/>
              <w:marRight w:val="0"/>
              <w:marTop w:val="0"/>
              <w:marBottom w:val="0"/>
              <w:divBdr>
                <w:top w:val="none" w:sz="0" w:space="0" w:color="auto"/>
                <w:left w:val="none" w:sz="0" w:space="0" w:color="auto"/>
                <w:bottom w:val="none" w:sz="0" w:space="0" w:color="auto"/>
                <w:right w:val="none" w:sz="0" w:space="0" w:color="auto"/>
              </w:divBdr>
            </w:div>
          </w:divsChild>
        </w:div>
        <w:div w:id="1865095160">
          <w:marLeft w:val="0"/>
          <w:marRight w:val="0"/>
          <w:marTop w:val="120"/>
          <w:marBottom w:val="60"/>
          <w:divBdr>
            <w:top w:val="none" w:sz="0" w:space="0" w:color="auto"/>
            <w:left w:val="none" w:sz="0" w:space="0" w:color="auto"/>
            <w:bottom w:val="none" w:sz="0" w:space="0" w:color="auto"/>
            <w:right w:val="none" w:sz="0" w:space="0" w:color="auto"/>
          </w:divBdr>
          <w:divsChild>
            <w:div w:id="1802578676">
              <w:marLeft w:val="0"/>
              <w:marRight w:val="0"/>
              <w:marTop w:val="0"/>
              <w:marBottom w:val="0"/>
              <w:divBdr>
                <w:top w:val="none" w:sz="0" w:space="0" w:color="auto"/>
                <w:left w:val="none" w:sz="0" w:space="0" w:color="auto"/>
                <w:bottom w:val="none" w:sz="0" w:space="0" w:color="auto"/>
                <w:right w:val="none" w:sz="0" w:space="0" w:color="auto"/>
              </w:divBdr>
            </w:div>
          </w:divsChild>
        </w:div>
        <w:div w:id="45494963">
          <w:marLeft w:val="0"/>
          <w:marRight w:val="0"/>
          <w:marTop w:val="120"/>
          <w:marBottom w:val="60"/>
          <w:divBdr>
            <w:top w:val="none" w:sz="0" w:space="0" w:color="auto"/>
            <w:left w:val="none" w:sz="0" w:space="0" w:color="auto"/>
            <w:bottom w:val="none" w:sz="0" w:space="0" w:color="auto"/>
            <w:right w:val="none" w:sz="0" w:space="0" w:color="auto"/>
          </w:divBdr>
          <w:divsChild>
            <w:div w:id="2001809288">
              <w:marLeft w:val="0"/>
              <w:marRight w:val="0"/>
              <w:marTop w:val="0"/>
              <w:marBottom w:val="0"/>
              <w:divBdr>
                <w:top w:val="none" w:sz="0" w:space="0" w:color="auto"/>
                <w:left w:val="none" w:sz="0" w:space="0" w:color="auto"/>
                <w:bottom w:val="none" w:sz="0" w:space="0" w:color="auto"/>
                <w:right w:val="none" w:sz="0" w:space="0" w:color="auto"/>
              </w:divBdr>
            </w:div>
          </w:divsChild>
        </w:div>
        <w:div w:id="1593124277">
          <w:marLeft w:val="0"/>
          <w:marRight w:val="0"/>
          <w:marTop w:val="120"/>
          <w:marBottom w:val="60"/>
          <w:divBdr>
            <w:top w:val="none" w:sz="0" w:space="0" w:color="auto"/>
            <w:left w:val="none" w:sz="0" w:space="0" w:color="auto"/>
            <w:bottom w:val="none" w:sz="0" w:space="0" w:color="auto"/>
            <w:right w:val="none" w:sz="0" w:space="0" w:color="auto"/>
          </w:divBdr>
          <w:divsChild>
            <w:div w:id="228228507">
              <w:marLeft w:val="0"/>
              <w:marRight w:val="0"/>
              <w:marTop w:val="0"/>
              <w:marBottom w:val="0"/>
              <w:divBdr>
                <w:top w:val="none" w:sz="0" w:space="0" w:color="auto"/>
                <w:left w:val="none" w:sz="0" w:space="0" w:color="auto"/>
                <w:bottom w:val="none" w:sz="0" w:space="0" w:color="auto"/>
                <w:right w:val="none" w:sz="0" w:space="0" w:color="auto"/>
              </w:divBdr>
            </w:div>
          </w:divsChild>
        </w:div>
        <w:div w:id="94373273">
          <w:marLeft w:val="0"/>
          <w:marRight w:val="0"/>
          <w:marTop w:val="120"/>
          <w:marBottom w:val="60"/>
          <w:divBdr>
            <w:top w:val="none" w:sz="0" w:space="0" w:color="auto"/>
            <w:left w:val="none" w:sz="0" w:space="0" w:color="auto"/>
            <w:bottom w:val="none" w:sz="0" w:space="0" w:color="auto"/>
            <w:right w:val="none" w:sz="0" w:space="0" w:color="auto"/>
          </w:divBdr>
          <w:divsChild>
            <w:div w:id="1841700196">
              <w:marLeft w:val="0"/>
              <w:marRight w:val="0"/>
              <w:marTop w:val="0"/>
              <w:marBottom w:val="0"/>
              <w:divBdr>
                <w:top w:val="none" w:sz="0" w:space="0" w:color="auto"/>
                <w:left w:val="none" w:sz="0" w:space="0" w:color="auto"/>
                <w:bottom w:val="none" w:sz="0" w:space="0" w:color="auto"/>
                <w:right w:val="none" w:sz="0" w:space="0" w:color="auto"/>
              </w:divBdr>
            </w:div>
          </w:divsChild>
        </w:div>
        <w:div w:id="475339630">
          <w:marLeft w:val="0"/>
          <w:marRight w:val="0"/>
          <w:marTop w:val="120"/>
          <w:marBottom w:val="60"/>
          <w:divBdr>
            <w:top w:val="none" w:sz="0" w:space="0" w:color="auto"/>
            <w:left w:val="none" w:sz="0" w:space="0" w:color="auto"/>
            <w:bottom w:val="none" w:sz="0" w:space="0" w:color="auto"/>
            <w:right w:val="none" w:sz="0" w:space="0" w:color="auto"/>
          </w:divBdr>
          <w:divsChild>
            <w:div w:id="1256476091">
              <w:marLeft w:val="0"/>
              <w:marRight w:val="0"/>
              <w:marTop w:val="0"/>
              <w:marBottom w:val="0"/>
              <w:divBdr>
                <w:top w:val="none" w:sz="0" w:space="0" w:color="auto"/>
                <w:left w:val="none" w:sz="0" w:space="0" w:color="auto"/>
                <w:bottom w:val="none" w:sz="0" w:space="0" w:color="auto"/>
                <w:right w:val="none" w:sz="0" w:space="0" w:color="auto"/>
              </w:divBdr>
            </w:div>
          </w:divsChild>
        </w:div>
        <w:div w:id="1807576728">
          <w:marLeft w:val="0"/>
          <w:marRight w:val="0"/>
          <w:marTop w:val="120"/>
          <w:marBottom w:val="60"/>
          <w:divBdr>
            <w:top w:val="none" w:sz="0" w:space="0" w:color="auto"/>
            <w:left w:val="none" w:sz="0" w:space="0" w:color="auto"/>
            <w:bottom w:val="none" w:sz="0" w:space="0" w:color="auto"/>
            <w:right w:val="none" w:sz="0" w:space="0" w:color="auto"/>
          </w:divBdr>
          <w:divsChild>
            <w:div w:id="1018854321">
              <w:marLeft w:val="0"/>
              <w:marRight w:val="0"/>
              <w:marTop w:val="0"/>
              <w:marBottom w:val="0"/>
              <w:divBdr>
                <w:top w:val="none" w:sz="0" w:space="0" w:color="auto"/>
                <w:left w:val="none" w:sz="0" w:space="0" w:color="auto"/>
                <w:bottom w:val="none" w:sz="0" w:space="0" w:color="auto"/>
                <w:right w:val="none" w:sz="0" w:space="0" w:color="auto"/>
              </w:divBdr>
            </w:div>
          </w:divsChild>
        </w:div>
        <w:div w:id="847018404">
          <w:marLeft w:val="0"/>
          <w:marRight w:val="0"/>
          <w:marTop w:val="120"/>
          <w:marBottom w:val="60"/>
          <w:divBdr>
            <w:top w:val="none" w:sz="0" w:space="0" w:color="auto"/>
            <w:left w:val="none" w:sz="0" w:space="0" w:color="auto"/>
            <w:bottom w:val="none" w:sz="0" w:space="0" w:color="auto"/>
            <w:right w:val="none" w:sz="0" w:space="0" w:color="auto"/>
          </w:divBdr>
          <w:divsChild>
            <w:div w:id="1568110208">
              <w:marLeft w:val="0"/>
              <w:marRight w:val="0"/>
              <w:marTop w:val="0"/>
              <w:marBottom w:val="0"/>
              <w:divBdr>
                <w:top w:val="none" w:sz="0" w:space="0" w:color="auto"/>
                <w:left w:val="none" w:sz="0" w:space="0" w:color="auto"/>
                <w:bottom w:val="none" w:sz="0" w:space="0" w:color="auto"/>
                <w:right w:val="none" w:sz="0" w:space="0" w:color="auto"/>
              </w:divBdr>
            </w:div>
          </w:divsChild>
        </w:div>
        <w:div w:id="585461056">
          <w:marLeft w:val="0"/>
          <w:marRight w:val="0"/>
          <w:marTop w:val="120"/>
          <w:marBottom w:val="60"/>
          <w:divBdr>
            <w:top w:val="none" w:sz="0" w:space="0" w:color="auto"/>
            <w:left w:val="none" w:sz="0" w:space="0" w:color="auto"/>
            <w:bottom w:val="none" w:sz="0" w:space="0" w:color="auto"/>
            <w:right w:val="none" w:sz="0" w:space="0" w:color="auto"/>
          </w:divBdr>
          <w:divsChild>
            <w:div w:id="1608852707">
              <w:marLeft w:val="0"/>
              <w:marRight w:val="0"/>
              <w:marTop w:val="0"/>
              <w:marBottom w:val="0"/>
              <w:divBdr>
                <w:top w:val="none" w:sz="0" w:space="0" w:color="auto"/>
                <w:left w:val="none" w:sz="0" w:space="0" w:color="auto"/>
                <w:bottom w:val="none" w:sz="0" w:space="0" w:color="auto"/>
                <w:right w:val="none" w:sz="0" w:space="0" w:color="auto"/>
              </w:divBdr>
            </w:div>
          </w:divsChild>
        </w:div>
        <w:div w:id="1949389103">
          <w:marLeft w:val="0"/>
          <w:marRight w:val="0"/>
          <w:marTop w:val="240"/>
          <w:marBottom w:val="0"/>
          <w:divBdr>
            <w:top w:val="none" w:sz="0" w:space="0" w:color="auto"/>
            <w:left w:val="none" w:sz="0" w:space="0" w:color="auto"/>
            <w:bottom w:val="none" w:sz="0" w:space="0" w:color="auto"/>
            <w:right w:val="none" w:sz="0" w:space="0" w:color="auto"/>
          </w:divBdr>
        </w:div>
      </w:divsChild>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1344</Words>
  <Characters>7661</Characters>
  <Application>Microsoft Office Word</Application>
  <DocSecurity>4</DocSecurity>
  <Lines>63</Lines>
  <Paragraphs>17</Paragraphs>
  <ScaleCrop>false</ScaleCrop>
  <Company/>
  <LinksUpToDate>false</LinksUpToDate>
  <CharactersWithSpaces>8988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환경기술인 보유 자격기준 및 법적 근거</dc:title>
  <dc:subject/>
  <dc:creator>GWANGSIK JO</dc:creator>
  <cp:keywords/>
  <dc:description/>
  <cp:lastModifiedBy>GWANGSIK JO</cp:lastModifiedBy>
  <cp:revision>2</cp:revision>
  <dcterms:created xsi:type="dcterms:W3CDTF">2026-07-31T02:26:00Z</dcterms:created>
  <dcterms:modified xsi:type="dcterms:W3CDTF">2026-07-31T02:26:00Z</dcterms:modified>
</cp:coreProperties>
</file>