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상수원 상류 산업단지에 특정수질유해물질 공장은 새로 못 들어갑니다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2018두34084 (2020.11.26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상수원보호구역 상류의 공장설립 제한지역에 있는 산업단지에서 사업인정을 받아 수용재결이 이루어지자 토지 소유자가 이를 다툰 사건입니다. 대법원은 수도법 시행령 부칙 경과규정이 기존 산업단지를 공장설립 제한·승인 규정의 적용에서 제외하되, 그 대신 폐수종말처리장 처리용량의 범위에서 ‘특정수질유해물질을 배출하는 공장과 유독물·취급제한금지물질 영업 공장을 뺀 공장’만 신설할 수 있게 한 근거 조항이라고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상수원 상류라도 산업단지 안이면 공장을 지을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기존 산업단지라면 경과규정에 따라 지을 수 있지만 무제한은 아닙니다. 해당 산업단지의 폐수종말처리장 처리용량 범위 안이어야 하고, 특정수질유해물질을 배출하는 공장과 유독물 영업등록·취급제한금지물질 영업허가를 받아야 하는 공장은 여전히 신설할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‘기존 산업단지’는 어떻게 판단하나요?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2010. 11. 26. 당시 이미 지정·개발되어 있던 산업단지, 또는 그 전에 산업단지개발계획 수립 용역이 발주되거나 승인신청서가 접수되는 등 지정·개발 절차에 착수하여 그 이후 지정·개발이 완료된 산업단지를 말합니다.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사업인정에 하자가 있으면 수용재결 단계에서 다툴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원칙적으로 다툴 수 없습니다. 사업인정처분 자체의 위법은 사업인정 단계에서 다투어야 하고, 쟁송기간이 지난 수용재결 단계에서는 사업인정이 당연무효라고 볼 특단의 사정이 없는 한 그 위법을 이유로 재결의 취소를 구할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2018두34084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2020.11.26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 · 피고 충청남도지방토지수용위원회 (피고보조참가인 ○○○ 주식회사, 피고소송참가인 천안시장)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(수용재결취소)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2017누12184 (2018. 1. 10.)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수도법 제7조의2 제1항은 상수원보호구역의 상류지역이나 취수시설의 상류·하류 일정지역에서는 공장을 설립할 수 없다고 규정하고, 시행령은 그 범위를 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2010. 11. 26. 개정 시행령 부칙 제5조는 개정 당시 제한지역에 이미 설립된 공장에 대해서만 부지면적 범위의 증설이나 폐수배출량이 늘지 않는 범위의 업종변경을 허용하였다.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그런데 위 부칙 제5조가 산업단지 안의 공장에도 적용되는지가 명확하지 않아, 제한지역에 있는 산업단지에서는 신규 공장 신설이 불가능하고 기존 공장의 증설·업종변경도 막히는 부작용이 생겼다.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이에 2014. 4. 15. 개정 시행령은 부칙 제5조가 기존 산업단지 밖의 공장에만 적용됨을 명확히 하는 한편, 별도로 부칙 제4조의2(경과규정)를 신설하였다.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경과규정은 기존 산업단지 안에서는 해당 산업단지의 폐수종말처리장 처리용량의 범위에서 ‘특정수질유해물질을 배출하는 공장 및 유독물 영업등록이나 취급제한·금지물질 영업허가를 받아야 하는 공장 외의 공장’을 신설하는 행위를 허용하였다.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피고소송참가인은 이 경과규정을 근거로 사업시행자 지정 및 사업인정을 받았고, 이어 수용재결이 내려지자 원고가 수용재결의 취소를 구하는 소를 제기하였다.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수도법 시행령 부칙 경과규정이 공장설립 제한지역 안의 기존 산업단지에 관하여 어떤 의미를 갖는지와, 사업인정처분의 하자를 수용재결 단계에서 다툴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수도법 제7조의2 제1항은 상수원보호구역의 상류지역이나 취수시설의 상류·하류 일정지역에서는 공장을 설립할 수 없다고 정하고, 같은 조는 상수원에 미치는 영향 등을 고려하여 대통령령으로 정하는 지역에는 시장·군수·구청장이 공장 설립을 승인할 수 있도록 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이 사건 경과규정의 문언과 체계, 개정 연혁과 취지 등을 종합하면, 이 사건 경과규정은 별도로 정의한 ‘기존 산업단지’를 공장설립 제한규정 및 공장설립 승인규정의 적용대상에서 제외함과 동시에, 그 기존 산업단지에서는 폐수종말처리장 처리용량의 범위에서 일정한 공장의 신설을 허용하는 근거 조항이라고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그 ‘일정한 공장’이란 특정수질유해물질을 배출하는 공장과 유독물 영업등록 또는 취급제한·금지물질 영업허가를 받아야 하는 공장을 뺀 나머지 공장을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원심도 같은 취지에서 이 사건 경과규정을 공장설립 승인에 관한 근거 조항으로 보고, 사업부지가 경과규정이 정한 ‘기존 산업단지’에 해당하는지에 따라 사업시행자 지정 및 사업인정처분의 실체적 하자 유무를 판단하였는바, 여기에 법리를 오해한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한편 사업인정처분 자체의 위법은 사업인정 단계에서 다투어야 하고 이미 쟁송기간이 지난 수용재결 단계에서는 사업인정처분이 당연무효라고 볼 만한 특단의 사정이 없는 한 그 위법을 이유로 재결의 취소를 구할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하자 있는 행정처분이 당연무효가 되려면 그 하자가 법규의 중요한 부분을 위반한 중대한 것으로서 객관적으로 명백하여야 하고, 어느 법률의 규정을 적용할 수 없다는 법리가 명백히 밝혀지지 않아 해석에 다툼의 여지가 있는 때에는 행정청이 이를 잘못 해석하였더라도 그 하자가 명백하다고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원심은 사업부지가 ‘기존 산업단지’에 해당하지 않아 사업시행자 지정 및 사업인정처분에 공장설립 제한규정을 위반한 하자가 있으나, 경과규정의 적용을 긍정하는 소관 중앙행정기관의 의견 등을 참고하여 처분이 이루어진 점 등에 비추어 그 하자가 당연무효라고 볼 정도로 명백하지는 않다고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대법원은 원심의 판단이 모두 정당하다고 보아 상고를 기각하였다.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상수원의 확보와 수질 보전을 위하여 필요하다고 인정되는 지역을 상수원보호구역으로 지정·공고할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제7조의2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상수원보호구역의 상류지역이나 취수시설의 상류·하류 일정지역으로서 대통령령으로 정하는 지역에서는 「산업집적활성화 및 공장설립에 관한 법률」 제2조제1호에 따른 공장을 설립할 수 없다.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제7조의2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시장·군수·구청장은 공장설립이 제한되는 지역 중 상수원에 미치는 영향 등을 고려하여 대통령령으로 정하는 지역에는 기후에너지환경부령으로 정하는 공장의 설립을 승인할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제14조의2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공장설립이 제한되는 지역의 범위를 정하고 있다. 상수원보호구역이 지정·공고된 경우와, 지정·공고되지 않은 경우 취수시설로부터 상류로 유하거리 15km 이내·하류로 1km 이내인 지역 등이다.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“특정수질유해물질”이란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화학물질관리법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유해화학물질 영업을 하려는 자는 사업장별로 기후에너지환경부장관의 허가를 받아야 한다. (구 유해화학물질관리법 제20조 유독물 영업등록, 제34조 취급제한·금지물질 영업허가에 해당한다)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공익사업을 위한 토지 등의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취득 및 보상에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제20조·제34조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사업시행자는 공익사업의 수행을 위하여 사업인정을 받아야 하고, 토지수용위원회는 심리를 마쳤을 때 재결을 하여야 한다. 사업인정의 위법은 사업인정 단계에서 다투어야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https://www.law.go.kr/판례/(2018두34084)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#수도법 #상수원보호구역 #공장설립제한 #산업단지 #폐수종말처리장 #수용재결 #사업인정 #행정판례 #대법원판례 #2020년판례 #2018두34084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