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N w:val="0"/>
        <w:autoSpaceDE w:val="0"/>
        <w:spacing w:after="60"/>
      </w:pPr>
      <w:r>
        <w:rPr>
          <w:rFonts w:ascii="맑은 고딕" w:hAnsi="맑은 고딕" w:eastAsia="맑은 고딕" w:cs="맑은 고딕"/>
          <w:b/>
          <w:color w:val="000000"/>
          <w:sz w:val="30"/>
        </w:rPr>
        <w:t>레미콘차량은 남의 차라도 폐수배출시설의 관련 시설입니다</w:t>
      </w:r>
    </w:p>
    <w:p>
      <w:pPr>
        <w:autoSpaceDN w:val="0"/>
        <w:autoSpaceDE w:val="0"/>
        <w:pStyle w:val="law1"/>
        <w:spacing w:after="160"/>
      </w:pPr>
      <w:r>
        <w:rPr>
          <w:rFonts w:ascii="맑은 고딕" w:hAnsi="맑은 고딕" w:eastAsia="맑은 고딕" w:cs="맑은 고딕"/>
          <w:color w:val="000000"/>
        </w:rPr>
        <w:t>대법원 2022두49953 (2022.12.15 선고)</w:t>
      </w:r>
    </w:p>
    <w:p>
      <w:pPr>
        <w:autoSpaceDN w:val="0"/>
        <w:autoSpaceDE w:val="0"/>
        <w:spacing w:after="120"/>
      </w:pPr>
      <w:r>
        <w:rPr>
          <w:rFonts w:ascii="맑은 고딕" w:hAnsi="맑은 고딕" w:eastAsia="맑은 고딕" w:cs="맑은 고딕"/>
          <w:color w:val="000000"/>
        </w:rPr>
        <w:t>○ 도급계약으로 쓰는 타인 소유 레미콘차량이 폐수배출시설의 관련 시설에 해당하는지가 문제된 사건입니다. 대법원은 시행규칙 [별표 4]가 레미콘차량의 소유관계에 아무런 제한을 두고 있지 않으므로, 사업자의 소유인지 여부와 관계없이 폐수배출시설인 레미콘 제조·생산시설의 관련 시설에 해당한다고 보았습니다.</w:t>
      </w:r>
    </w:p>
    <w:p>
      <w:pPr>
        <w:autoSpaceDN w:val="0"/>
        <w:autoSpaceDE w:val="0"/>
      </w:pPr>
    </w:p>
    <w:p>
      <w:pPr>
        <w:autoSpaceDN w:val="0"/>
        <w:autoSpaceDE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21"/>
              </w:rPr>
              <w:t>※ 간단요약</w:t>
            </w:r>
          </w:p>
        </w:tc>
      </w:tr>
      <w:tr>
        <w:tc>
          <w:tcPr>
            <w:tcW w:type="pct" w:w="5000"/>
            <w:shd w:val="clear" w:color="auto" w:fill="F7F7F7"/>
          </w:tcPr>
          <w:p>
            <w:pPr>
              <w:autoSpaceDN w:val="0"/>
              <w:autoSpaceDE w:val="0"/>
            </w:pPr>
            <w:r>
              <w:rPr>
                <w:rFonts w:ascii="맑은 고딕" w:hAnsi="맑은 고딕" w:eastAsia="맑은 고딕" w:cs="맑은 고딕"/>
                <w:b/>
                <w:color w:val="000000"/>
                <w:sz w:val="19"/>
              </w:rPr>
              <w:t>Q. 지입차나 도급계약으로 쓰는 레미콘차량도 우리 사업장의 폐수배출시설인가요?</w:t>
            </w:r>
          </w:p>
          <w:p>
            <w:pPr>
              <w:autoSpaceDN w:val="0"/>
              <w:autoSpaceDE w:val="0"/>
            </w:pPr>
            <w:r>
              <w:rPr>
                <w:rFonts w:ascii="맑은 고딕" w:hAnsi="맑은 고딕" w:eastAsia="맑은 고딕" w:cs="맑은 고딕"/>
                <w:color w:val="000000"/>
                <w:sz w:val="19"/>
              </w:rPr>
              <w:t>A. 그렇습니다. 시행규칙 [별표 4] 제2호 53)항은 레미콘차량의 소유관계에 아무런 제한 규정을 두고 있지 않으므로, 소유 여부와 관계없이 관련 시설에 해당합니다.</w:t>
            </w:r>
          </w:p>
          <w:p>
            <w:pPr>
              <w:autoSpaceDN w:val="0"/>
              <w:autoSpaceDE w:val="0"/>
            </w:pPr>
          </w:p>
          <w:p>
            <w:pPr>
              <w:autoSpaceDN w:val="0"/>
              <w:autoSpaceDE w:val="0"/>
            </w:pPr>
            <w:r>
              <w:rPr>
                <w:rFonts w:ascii="맑은 고딕" w:hAnsi="맑은 고딕" w:eastAsia="맑은 고딕" w:cs="맑은 고딕"/>
                <w:b/>
                <w:color w:val="000000"/>
                <w:sz w:val="19"/>
              </w:rPr>
              <w:t>Q. 운전기사가 사업장 밖에서 차를 씻어 흘려보냈는데 사업자가 책임지나요?</w:t>
            </w:r>
          </w:p>
          <w:p>
            <w:pPr>
              <w:autoSpaceDN w:val="0"/>
              <w:autoSpaceDE w:val="0"/>
            </w:pPr>
            <w:r>
              <w:rPr>
                <w:rFonts w:ascii="맑은 고딕" w:hAnsi="맑은 고딕" w:eastAsia="맑은 고딕" w:cs="맑은 고딕"/>
                <w:color w:val="000000"/>
                <w:sz w:val="19"/>
              </w:rPr>
              <w:t>A. 사업장 밖에서 레미콘차량을 세척하고 세척수를 방류하는 것은 폐수배출시설 설치신고의 내용에도 반하고, 방지시설에 유입하지 않고 배출한 행위에 해당합니다.</w:t>
            </w:r>
          </w:p>
          <w:p>
            <w:pPr>
              <w:autoSpaceDN w:val="0"/>
              <w:autoSpaceDE w:val="0"/>
            </w:pPr>
          </w:p>
          <w:p>
            <w:pPr>
              <w:autoSpaceDN w:val="0"/>
              <w:autoSpaceDE w:val="0"/>
            </w:pPr>
            <w:r>
              <w:rPr>
                <w:rFonts w:ascii="맑은 고딕" w:hAnsi="맑은 고딕" w:eastAsia="맑은 고딕" w:cs="맑은 고딕"/>
                <w:b/>
                <w:color w:val="000000"/>
                <w:sz w:val="19"/>
              </w:rPr>
              <w:t>Q. 어떤 제재를 받나요?</w:t>
            </w:r>
          </w:p>
          <w:p>
            <w:pPr>
              <w:autoSpaceDN w:val="0"/>
              <w:autoSpaceDE w:val="0"/>
            </w:pPr>
            <w:r>
              <w:rPr>
                <w:rFonts w:ascii="맑은 고딕" w:hAnsi="맑은 고딕" w:eastAsia="맑은 고딕" w:cs="맑은 고딕"/>
                <w:color w:val="000000"/>
                <w:sz w:val="19"/>
              </w:rPr>
              <w:t>A. 법 제38조 제1항 제1호 위반으로 조업정지 처분(이 사건에서는 45일) 대상이 됩니다.</w:t>
            </w:r>
          </w:p>
        </w:tc>
      </w:tr>
    </w:tbl>
    <w:p>
      <w:pPr>
        <w:autoSpaceDN w:val="0"/>
        <w:autoSpaceDE w:val="0"/>
      </w:pPr>
    </w:p>
    <w:p>
      <w:pPr>
        <w:autoSpaceDN w:val="0"/>
        <w:autoSpaceDE w:val="0"/>
      </w:pPr>
    </w:p>
    <w:p>
      <w:pPr>
        <w:autoSpaceDN w:val="0"/>
        <w:autoSpaceDE w:val="0"/>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N w:val="0"/>
              <w:autoSpaceDE w:val="0"/>
            </w:pPr>
            <w:r>
              <w:rPr>
                <w:rFonts w:ascii="맑은 고딕" w:hAnsi="맑은 고딕" w:eastAsia="맑은 고딕" w:cs="맑은 고딕"/>
                <w:b/>
                <w:color w:val="000000"/>
                <w:sz w:val="19"/>
              </w:rPr>
              <w:t>사건번호</w:t>
            </w:r>
          </w:p>
        </w:tc>
        <w:tc>
          <w:tcPr>
            <w:tcW w:type="pct" w:w="3800"/>
          </w:tcPr>
          <w:p>
            <w:pPr>
              <w:autoSpaceDN w:val="0"/>
              <w:autoSpaceDE w:val="0"/>
            </w:pPr>
            <w:r>
              <w:rPr>
                <w:rFonts w:ascii="맑은 고딕" w:hAnsi="맑은 고딕" w:eastAsia="맑은 고딕" w:cs="맑은 고딕"/>
                <w:color w:val="000000"/>
                <w:sz w:val="19"/>
              </w:rPr>
              <w:t>2022두49953</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선고일자</w:t>
            </w:r>
          </w:p>
        </w:tc>
        <w:tc>
          <w:tcPr>
            <w:tcW w:type="pct" w:w="3800"/>
          </w:tcPr>
          <w:p>
            <w:pPr>
              <w:autoSpaceDN w:val="0"/>
              <w:autoSpaceDE w:val="0"/>
            </w:pPr>
            <w:r>
              <w:rPr>
                <w:rFonts w:ascii="맑은 고딕" w:hAnsi="맑은 고딕" w:eastAsia="맑은 고딕" w:cs="맑은 고딕"/>
                <w:color w:val="000000"/>
                <w:sz w:val="19"/>
              </w:rPr>
              <w:t>2022.12.15</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법원</w:t>
            </w:r>
          </w:p>
        </w:tc>
        <w:tc>
          <w:tcPr>
            <w:tcW w:type="pct" w:w="3800"/>
          </w:tcPr>
          <w:p>
            <w:pPr>
              <w:autoSpaceDN w:val="0"/>
              <w:autoSpaceDE w:val="0"/>
            </w:pPr>
            <w:r>
              <w:rPr>
                <w:rFonts w:ascii="맑은 고딕" w:hAnsi="맑은 고딕" w:eastAsia="맑은 고딕" w:cs="맑은 고딕"/>
                <w:color w:val="000000"/>
                <w:sz w:val="19"/>
              </w:rPr>
              <w:t>대법원</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당사자</w:t>
            </w:r>
          </w:p>
        </w:tc>
        <w:tc>
          <w:tcPr>
            <w:tcW w:type="pct" w:w="3800"/>
          </w:tcPr>
          <w:p>
            <w:pPr>
              <w:autoSpaceDN w:val="0"/>
              <w:autoSpaceDE w:val="0"/>
            </w:pPr>
            <w:r>
              <w:rPr>
                <w:rFonts w:ascii="맑은 고딕" w:hAnsi="맑은 고딕" w:eastAsia="맑은 고딕" w:cs="맑은 고딕"/>
                <w:color w:val="000000"/>
                <w:sz w:val="19"/>
              </w:rPr>
              <w:t>원고 ○○○ 주식회사 · 피고 부산광역시 기장군수</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사건종류</w:t>
            </w:r>
          </w:p>
        </w:tc>
        <w:tc>
          <w:tcPr>
            <w:tcW w:type="pct" w:w="3800"/>
          </w:tcPr>
          <w:p>
            <w:pPr>
              <w:autoSpaceDN w:val="0"/>
              <w:autoSpaceDE w:val="0"/>
            </w:pPr>
            <w:r>
              <w:rPr>
                <w:rFonts w:ascii="맑은 고딕" w:hAnsi="맑은 고딕" w:eastAsia="맑은 고딕" w:cs="맑은 고딕"/>
                <w:color w:val="000000"/>
                <w:sz w:val="19"/>
              </w:rPr>
              <w:t>일반행정 (조업정지처분취소)</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원심</w:t>
            </w:r>
          </w:p>
        </w:tc>
        <w:tc>
          <w:tcPr>
            <w:tcW w:type="pct" w:w="3800"/>
          </w:tcPr>
          <w:p>
            <w:pPr>
              <w:autoSpaceDN w:val="0"/>
              <w:autoSpaceDE w:val="0"/>
            </w:pPr>
            <w:r>
              <w:rPr>
                <w:rFonts w:ascii="맑은 고딕" w:hAnsi="맑은 고딕" w:eastAsia="맑은 고딕" w:cs="맑은 고딕"/>
                <w:color w:val="000000"/>
                <w:sz w:val="19"/>
              </w:rPr>
              <w:t>부산고법 2021누23039 (2022. 6. 24.)</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결과</w:t>
            </w:r>
          </w:p>
        </w:tc>
        <w:tc>
          <w:tcPr>
            <w:tcW w:type="pct" w:w="3800"/>
          </w:tcPr>
          <w:p>
            <w:pPr>
              <w:autoSpaceDN w:val="0"/>
              <w:autoSpaceDE w:val="0"/>
            </w:pPr>
            <w:r>
              <w:rPr>
                <w:rFonts w:ascii="맑은 고딕" w:hAnsi="맑은 고딕" w:eastAsia="맑은 고딕" w:cs="맑은 고딕"/>
                <w:color w:val="000000"/>
                <w:sz w:val="19"/>
              </w:rPr>
              <w:t>원심 파기환송</w:t>
            </w:r>
          </w:p>
        </w:tc>
      </w:tr>
    </w:tbl>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2. 사실관계</w:t>
      </w:r>
    </w:p>
    <w:p>
      <w:pPr>
        <w:autoSpaceDN w:val="0"/>
        <w:autoSpaceDE w:val="0"/>
      </w:pPr>
      <w:r>
        <w:rPr>
          <w:rFonts w:ascii="맑은 고딕" w:hAnsi="맑은 고딕" w:eastAsia="맑은 고딕" w:cs="맑은 고딕"/>
          <w:color w:val="000000"/>
        </w:rPr>
        <w:t>① 원고는 레미콘의 제조 및 판매업, 운송업 등을 목적으로 설립된 회사로, 부산 기장군 소재 레미콘 제조·생산시설을 운영하고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원고는 공소외 1과 사이에, 공소외 1 소유의 레미콘차량으로 이 사건 사업장에서 제조·생산된 레미콘을 원고가 지정하는 공사현장까지 운반하되 계약기간을 1년으로 하고 가동시간은 1일 11시간을 기준으로 하는 레미콘운반도급계약을 체결하였다.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공소외 2는 2020. 9. 29. 이 사건 사업장에서 제조·생산된 레미콘을 이 사건 레미콘차량에 싣고 공사현장까지 운반한 다음, 그곳에서 1차 세척을 마치고 돌아오다가 같은 날 위 공사현장에서 100m 정도 떨어진 하천 인근 교량에서 레미콘과 먼지 등이 묻어 있는 차량 후미를 다시 세척하였다.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피고 소속 담당공무원은 같은 날 19:10경 위 교량 위에 고여 있는 오염수의 수소이온농도(pH)가 11 이상으로, 시행규칙 [별표 13] 배출허용기준인 5.8~8.6을 초과함을 확인하였다.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피고는 2020. 11. 6. 원고가 법 제38조 제1항을 위반하여 폐수배출시설에서 배출되는 수질오염물질을 방지시설에 유입하지 않고 배출하였다는 사유로 조업정지 45일의 처분을 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원심은 레미콘차량이 관련 시설에 해당한다고 보면서도, 신고하여야 할 레미콘차량은 사업자가 소유하는 차량에 한정된다는 이유로 위 처분이 위법하다고 판단하였다.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3. 쟁점</w:t>
      </w:r>
    </w:p>
    <w:p>
      <w:pPr>
        <w:autoSpaceDN w:val="0"/>
        <w:autoSpaceDE w:val="0"/>
      </w:pPr>
      <w:r>
        <w:rPr>
          <w:rFonts w:ascii="맑은 고딕" w:hAnsi="맑은 고딕" w:eastAsia="맑은 고딕" w:cs="맑은 고딕"/>
          <w:color w:val="000000"/>
          <w:u w:val="single"/>
        </w:rPr>
        <w:t>이 사건의 쟁점은, 레미콘차량이 사업자의 소유인지 여부와 관계없이 물환경보전법에서 정한 ‘폐수배출시설’인 레미콘 제조·생산시설의 관련 시설에 해당하는지 여부이다.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4. 판단</w:t>
      </w:r>
    </w:p>
    <w:p>
      <w:pPr>
        <w:autoSpaceDN w:val="0"/>
        <w:autoSpaceDE w:val="0"/>
      </w:pPr>
      <w:r>
        <w:rPr>
          <w:rFonts w:ascii="맑은 고딕" w:hAnsi="맑은 고딕" w:eastAsia="맑은 고딕" w:cs="맑은 고딕"/>
          <w:b/>
          <w:color w:val="000000"/>
          <w:u w:val="single"/>
        </w:rPr>
        <w:t>① 원심의 판단 원심은 레미콘차량이 시행규칙 제6조 [별표 4] 제2호 53)항에서 정한 폐수배출시설인 ‘시멘트·석회·플라스터 및 그 제품 제조시설’의 관련 시설에 해당한다고 인정하면서도, 사업자가 관련 시설로 신고하여야 할 레미콘차량은 사업자가 소유하는 차량에 한정되고 도급계약 등을 통해 사용하는 타인 소유 차량은 포함되지 않는다는 이유로 조업정지 처분이 위법하다고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대법원의 판단 그러나 원심의 판단은 다음과 같은 이유로 수긍하기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물환경보전법은 수질오염으로 인한 국민건강 및 환경상의 위해를 예방하고 하천·호소 등 공공수역의 물환경을 적정하게 관리·보전함을 목적으로 한다(제1조).</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같은 법 제2조에 의하면 ‘점오염원’이란 폐수배출시설 등으로서 관거·수로 등을 통하여 일정한 지점으로 수질오염물질을 배출하는 배출원을 말하고, ‘폐수’란 물에 액체성 또는 고체성의 수질오염물질이 섞여 있어 그대로는 사용할 수 없는 물을 말하며, ‘폐수배출시설’이란 수질오염물질을 배출하는 시설물, 기계, 기구, 그 밖의 물체로서 환경부령으로 정하는 것을 말한다.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같은 법 시행규칙 제6조 [별표 4] 제2호 53)항에 의하면 ‘시멘트·석회·플라스터 및 그 제품 제조시설’은 폐수배출시설에 해당하고, ‘레미콘차량’은 관련 시설로서 이에 포함된다.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위와 같은 물환경보전법령의 입법 취지 및 내용 등에 위 [별표 4] 제2호 53)항에서 레미콘차량의 소유관계에 관하여 아무런 제한 규정을 두고 있지 않은 점 등을 더하여 보면, 레미콘차량은 사업자의 소유인지 여부와 관계없이 폐수배출시설인 이 사건 사업장의 관련 시설에 해당한다고 봄이 타당하다.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이 사건 사업장의 폐수배출시설 설치신고서 및 원고가 주장하는 폐수처리 절차 등에 비추어 보면, 원고는 레미콘 제조 과정에서 발생한 폐수는 물론 레미콘차량이 공장에 복귀하여 잔류물 등을 세척하는 과정에서 발생한 폐수 전량에 대해 물리적 처리를 거쳐 재이용하여야 하고, 사업장 밖에서 차량을 세척하고 세척수를 방류하는 것은 설치신고의 내용에도 반한다.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⑧ 따라서 하천 인근 교량에서 레미콘 잔여물과 먼지 등이 묻어 있는 차량 후미를 세척하면서 배출허용기준을 초과하여 수질오염물질을 배출한 행위는 법 제38조 제1항 제1호 전단에 해당한다.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⑨ 그런데도 원심이 조업정지 처분을 위법하다고 판단한 데에는 ‘폐수배출시설’의 범위 및 법 제38조 제1항 제1호의 해석·적용에 관한 법리를 오해한 위법이 있다.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5. 판결요지</w:t>
      </w:r>
    </w:p>
    <w:p>
      <w:pPr>
        <w:autoSpaceDN w:val="0"/>
        <w:autoSpaceDE w:val="0"/>
      </w:pPr>
      <w:r>
        <w:rPr>
          <w:rFonts w:ascii="맑은 고딕" w:hAnsi="맑은 고딕" w:eastAsia="맑은 고딕" w:cs="맑은 고딕"/>
          <w:color w:val="000000"/>
          <w:u w:val="single"/>
        </w:rPr>
        <w:t>① 물환경보전법 제2조에 의하면, ‘점오염원’이란 폐수배출시설 등으로서 관거·수로 등을 통하여 일정한 지점으로 수질오염물질을 배출하는 배출원을 말하고(제1호의2), ‘폐수’란 물에 액체성 또는 고체성의 수질오염물질이 섞여 있어 그대로는 사용할 수 없는 물을 말하며(제4호), ‘폐수배출시설’이란 수질오염물질을 배출하는 시설물, 기계, 기구, 그 밖의 물체로서 환경부령으로 정하는 것을 말한다(제10호 본문).</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같은 법 시행규칙 제6조 [별표 4] 제2호 53)항에 의하면 ‘시멘트·석회·플라스터 및 그 제품 제조시설’은 폐수배출시설에 해당하고, ‘레미콘차량’은 관련 시설로서 이에 포함된다. 위와 같은 물환경보전법령의 입법 취지 및 내용 등에 위 시행규칙 제6조 [별표 4] 제2호 53)항에서 레미콘차량의 소유관계에 관하여 아무런 제한 규정을 두고 있지 않은 점 등을 더하여 보면, 레미콘차량은 사업자의 소유인지 여부와 관계없이 폐수배출시설인 레미콘 제조·생산시설의 관련 시설에 해당한다고 보는 것이 타당하다.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적용 문구</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제4호·제10호</w:t>
            </w:r>
          </w:p>
        </w:tc>
        <w:tc>
          <w:tcPr>
            <w:tcW w:type="pct" w:w="3500"/>
          </w:tcPr>
          <w:p>
            <w:pPr>
              <w:autoSpaceDN w:val="0"/>
              <w:autoSpaceDE w:val="0"/>
            </w:pPr>
            <w:r>
              <w:rPr>
                <w:rFonts w:ascii="맑은 고딕" w:hAnsi="맑은 고딕" w:eastAsia="맑은 고딕" w:cs="맑은 고딕"/>
                <w:color w:val="000000"/>
                <w:sz w:val="19"/>
              </w:rPr>
              <w:t>4. ‘폐수’란 물에 액체성 또는 고체성의 수질오염물질이 섞여 있어 그대로는 사용할 수 없는 물을 말한다.</w:t>
            </w:r>
            <w:r>
              <w:rPr>
                <w:rFonts w:ascii="맑은 고딕" w:hAnsi="맑은 고딕" w:eastAsia="맑은 고딕" w:cs="맑은 고딕"/>
                <w:color w:val="000000"/>
                <w:sz w:val="19"/>
              </w:rPr>
              <w:br/>
            </w:r>
            <w:r>
              <w:rPr>
                <w:rFonts w:ascii="맑은 고딕" w:hAnsi="맑은 고딕" w:eastAsia="맑은 고딕" w:cs="맑은 고딕"/>
                <w:color w:val="000000"/>
                <w:sz w:val="19"/>
              </w:rPr>
              <w:t>10. ‘폐수배출시설’이란 수질오염물질을 배출하는 시설물, 기계, 기구, 그 밖의 물체로서 기후에너지환경부령으로 정하는 것을 말한다.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제1호의2</w:t>
            </w:r>
          </w:p>
        </w:tc>
        <w:tc>
          <w:tcPr>
            <w:tcW w:type="pct" w:w="3500"/>
          </w:tcPr>
          <w:p>
            <w:pPr>
              <w:autoSpaceDN w:val="0"/>
              <w:autoSpaceDE w:val="0"/>
            </w:pPr>
            <w:r>
              <w:rPr>
                <w:rFonts w:ascii="맑은 고딕" w:hAnsi="맑은 고딕" w:eastAsia="맑은 고딕" w:cs="맑은 고딕"/>
                <w:color w:val="000000"/>
                <w:sz w:val="19"/>
              </w:rPr>
              <w:t>‘점오염원’이란 폐수배출시설, 하수발생시설, 축사 등으로서 관로·수로 등을 통하여 일정한 지점으로 수질오염물질을 배출하는 배출원을 말한다.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제1항</w:t>
            </w:r>
          </w:p>
        </w:tc>
        <w:tc>
          <w:tcPr>
            <w:tcW w:type="pct" w:w="3500"/>
          </w:tcPr>
          <w:p>
            <w:pPr>
              <w:autoSpaceDN w:val="0"/>
              <w:autoSpaceDE w:val="0"/>
            </w:pPr>
            <w:r>
              <w:rPr>
                <w:rFonts w:ascii="맑은 고딕" w:hAnsi="맑은 고딕" w:eastAsia="맑은 고딕" w:cs="맑은 고딕"/>
                <w:color w:val="000000"/>
                <w:sz w:val="19"/>
              </w:rPr>
              <w:t>배출시설을 설치하려는 자는 대통령령으로 정하는 바에 따라 기후에너지환경부장관의 허가를 받거나 기후에너지환경부장관에게 신고하여야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제38조 제1항 제1호</w:t>
            </w:r>
          </w:p>
        </w:tc>
        <w:tc>
          <w:tcPr>
            <w:tcW w:type="pct" w:w="3500"/>
          </w:tcPr>
          <w:p>
            <w:pPr>
              <w:autoSpaceDN w:val="0"/>
              <w:autoSpaceDE w:val="0"/>
            </w:pPr>
            <w:r>
              <w:rPr>
                <w:rFonts w:ascii="맑은 고딕" w:hAnsi="맑은 고딕" w:eastAsia="맑은 고딕" w:cs="맑은 고딕"/>
                <w:color w:val="000000"/>
                <w:sz w:val="19"/>
              </w:rPr>
              <w:t>사업자 또는 방지시설을 운영하는 자는 배출시설에서 배출되는 수질오염물질을 방지시설에 유입하지 아니하고 배출하거나, 방지시설에 유입하지 아니하고 배출할 수 있는 시설을 설치하는 행위를 하여서는 아니 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제42조 제1항 제10호</w:t>
            </w:r>
          </w:p>
        </w:tc>
        <w:tc>
          <w:tcPr>
            <w:tcW w:type="pct" w:w="3500"/>
          </w:tcPr>
          <w:p>
            <w:pPr>
              <w:autoSpaceDN w:val="0"/>
              <w:autoSpaceDE w:val="0"/>
            </w:pPr>
            <w:r>
              <w:rPr>
                <w:rFonts w:ascii="맑은 고딕" w:hAnsi="맑은 고딕" w:eastAsia="맑은 고딕" w:cs="맑은 고딕"/>
                <w:color w:val="000000"/>
                <w:sz w:val="19"/>
              </w:rPr>
              <w:t>제38조 제1항 각 호의 어느 하나에 해당하는 행위를 한 경우에는 배출시설의 설치허가·변경허가를 취소하거나 배출시설의 폐쇄 또는 6개월 이내의 조업정지를 명할 수 있다.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 [별표 4]</w:t>
            </w:r>
          </w:p>
        </w:tc>
        <w:tc>
          <w:tcPr>
            <w:tcW w:type="pct" w:w="3500"/>
          </w:tcPr>
          <w:p>
            <w:pPr>
              <w:autoSpaceDN w:val="0"/>
              <w:autoSpaceDE w:val="0"/>
            </w:pPr>
            <w:r>
              <w:rPr>
                <w:rFonts w:ascii="맑은 고딕" w:hAnsi="맑은 고딕" w:eastAsia="맑은 고딕" w:cs="맑은 고딕"/>
                <w:color w:val="000000"/>
                <w:sz w:val="19"/>
              </w:rPr>
              <w:t>폐수배출시설의 종류를 정하고 있으며, 제2호 53)항의 ‘시멘트·석회·플라스터 및 그 제품 제조시설’에는 레미콘차량이 관련 시설로 포함된다.</w:t>
            </w:r>
          </w:p>
        </w:tc>
      </w:tr>
    </w:tbl>
    <w:p>
      <w:pPr>
        <w:autoSpaceDN w:val="0"/>
        <w:autoSpaceDE w:val="0"/>
        <w:pStyle w:val="note"/>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autoSpaceDN w:val="0"/>
        <w:autoSpaceDE w:val="0"/>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N w:val="0"/>
        <w:autoSpaceDE w:val="0"/>
        <w:spacing w:before="120"/>
      </w:pPr>
      <w:r>
        <w:rPr>
          <w:rFonts w:ascii="맑은 고딕" w:hAnsi="맑은 고딕" w:eastAsia="맑은 고딕" w:cs="맑은 고딕"/>
          <w:color w:val="000000"/>
          <w:sz w:val="18"/>
        </w:rPr>
        <w:t>원문  https://www.law.go.kr/판례/(2022두49953)</w:t>
      </w:r>
    </w:p>
    <w:p>
      <w:pPr>
        <w:autoSpaceDN w:val="0"/>
        <w:autoSpaceDE w:val="0"/>
        <w:spacing w:before="80"/>
      </w:pPr>
      <w:r>
        <w:rPr>
          <w:rFonts w:ascii="맑은 고딕" w:hAnsi="맑은 고딕" w:eastAsia="맑은 고딕" w:cs="맑은 고딕"/>
          <w:color w:val="000000"/>
          <w:sz w:val="18"/>
        </w:rPr>
        <w:t>태그  #물환경보전법 #폐수배출시설 #레미콘차량 #조업정지 #방지시설 #세척수 #행정판례 #대법원판례 #2022년판례 #2022두49953 #환경법 #환경인허가 #인허가서대리 #서대리</w:t>
      </w:r>
    </w:p>
    <w:p>
      <w:pPr>
        <w:autoSpaceDN w:val="0"/>
        <w:autoSpaceDE w:val="0"/>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