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N w:val="0"/>
        <w:autoSpaceDE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업종별 기준에 못 미치면 일반시설란으로 끌어올 수 없습니다</w:t>
      </w:r>
    </w:p>
    <w:p>
      <w:pPr>
        <w:autoSpaceDN w:val="0"/>
        <w:autoSpaceDE w:val="0"/>
        <w:pStyle w:val="law1"/>
        <w:spacing w:after="160"/>
      </w:pPr>
      <w:r>
        <w:rPr>
          <w:rFonts w:ascii="맑은 고딕" w:hAnsi="맑은 고딕" w:eastAsia="맑은 고딕" w:cs="맑은 고딕"/>
          <w:color w:val="000000"/>
        </w:rPr>
        <w:t>대법원 97도2674 (1998.04.10 선고)</w:t>
      </w:r>
    </w:p>
    <w:p>
      <w:pPr>
        <w:autoSpaceDN w:val="0"/>
        <w:autoSpaceDE w:val="0"/>
        <w:spacing w:after="120"/>
      </w:pPr>
      <w:r>
        <w:rPr>
          <w:rFonts w:ascii="맑은 고딕" w:hAnsi="맑은 고딕" w:eastAsia="맑은 고딕" w:cs="맑은 고딕"/>
          <w:color w:val="000000"/>
        </w:rPr>
        <w:t>○ 업종별 규모기준에 미달하는 염색시설을 [별표 3]의 일반시설란((터)목)에 해당한다고 보아 처벌할 수 있는지가 문제된 사건입니다. 대법원은 (터)목은 (가)목 내지 (처)목에 해당하지 않는 새로운 업종을 규율대상으로 하는 것이고, (가)목 내지 (처)목에 해당하는 업종 중 일정량 이상의 폐수를 배출하는 시설을 규율하려는 것이 아니라고 보았습니다.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업종별 규모기준에 미달하는 시설을 폐수량 기준으로 규제할 수 있나요?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없습니다. 별표의 일반시설란은 열거된 업종에 해당하지 않는 새로운 업종을 규율하기 위한 것이지, 열거된 업종 중 폐수량이 많은 시설을 규율하려는 것이 아닙니다.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당시 염색시설의 허가 기준은 무엇이었나요?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시설합계 용적 2㎥ 이상인 경우가 폐수배출시설이었고, 이 사건 시설은 1.2㎥에 불과해 해당하지 않았습니다.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시행규칙 개정으로 새로 배출시설이 되면 바로 처벌되나요?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아닙니다. 개정 시행규칙 부칙은 기존 가동 중인 시설을 적법한 것으로 보고 일정 기간 내에 방지시설 설치와 허가증 교부를 마치도록 유예하고 있으므로, 그 기간 내에는 처벌할 수 없습니다.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97도2674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1998.04.10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대법원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당사자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피고인 염색업체 운영자 · 상고인 검사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형사 (수질환경보전법위반)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서울지법 97노1157 (1997. 8. 29.)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결과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상고기각 (원심 확정)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① 구 수질환경보전법 시행규칙 [별표 3]은 각 제조 업종별로 일정 규모 이상의 시설합계를 갖춘 것을 허가 대상 폐수배출시설로 규정하고 있었다.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그중 (카)목 섬유제조시설 중 염색시설에 대하여는 시설합계가 용적 2㎥ 이상인 경우를 폐수배출시설로 규정하고 있었다.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피고인이 설치하여 조업한 시설은 용적이 1.2㎥에 불과하여 위 기준에 미달하였다.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위 시행규칙은 1996. 1. 8. 개정되어 단위시설별 규정 방식에서 공정단위별로 그 배출량을 기준으로 규정하는 방식으로 바뀌었고, 개정 시행규칙 부칙 제2조 제2항은 시행 전에 이미 설치되어 가동 중인 시설을 적법한 것으로 보면서 2년 이내에 방지시설 설치를 완료하고 배출시설 설치허가증을 교부받도록 규정하였다.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검사는 피고인이 설치한 시설이 배출하는 폐수량이 [별표 3] (터)목의 일반시설란에서 정한 기준을 초과하므로 그에 해당한다고 주장하며 상고하였다.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  <w:u w:val="single"/>
        </w:rPr>
        <w:t>이 사건의 쟁점은, 구 수질환경보전법 시행규칙 [별표 3]의 (터)목 일반시설란이 어떤 시설을 규율대상으로 하는지, 즉 (가)목 내지 (처)목에 해당하는 업종 중 일정량 이상의 폐수를 배출하는 시설도 규율하는지 여부이다.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4. 판단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b/>
          <w:color w:val="000000"/>
          <w:u w:val="single"/>
        </w:rPr>
        <w:t>① 원심의 판단 원심은 [별표 3] (카)목 염색시설의 기준이 용적 2㎥ 이상인데 피고인의 시설은 1.2㎥에 불과하여 폐수배출시설에 해당하지 않고, 개정 시행규칙의 시행으로 비로소 폐수배출시설에 해당하게 되었으나 시행일로부터 2년이 경과되지 아니하여 처벌할 수 없다고 판단하였다.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대법원의 판단 원심의 판단은 정당하고, 검사의 상고이유는 받아들일 수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구 수질환경보전법 및 같은 법 시행규칙의 관계 규정을 종합하면, 구 시행규칙 시행 당시 허가를 받아야 하는 폐수배출시설은 [별표 3]의 각 호에서 규정한 각 제조 업종별로 일정 규모 이상의 시설합계를 갖춘 것을 의미한다.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④ 상고이유는 피고인이 설치한 시설이 배출하는 폐수량이 [별표 3] (터)목의 일반시설란에서 정한 기준을 초과하므로 그에 해당한다는 것이다.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  <w:u w:val="single"/>
        </w:rPr>
        <w:t>⑤ 그러나 구 시행규칙이 1996. 1. 8. 개정되어 종전 규정이 단위시설별로 배출시설을 규정하던 방식에서 공정단위별로 그 배출량을 기준으로 규정하는 방식으로 바뀌었다.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⑥ 또한 개정 시행규칙 부칙 제2조 제2항이 개정 시행규칙 시행 전에 이미 설치되어 가동 중인 시설을 적법한 것으로 보고 2년 이내에 방지시설의 설치를 완료하고 배출시설 설치허가증을 교부받아야 한다고 규정하고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⑦ 이러한 점에 비추어 보면, 구 시행규칙 [별표 3]의 (터)목은 (가)목 내지 (처)목에 해당하지 아니하는 새로운 업종을 규율대상으로 하는 것이고, (가)목 내지 (처)목에 해당하는 업종 중 일정량 이상의 폐수를 배출하는 시설을 규율하려는 것이 아니라고 해석함이 상당하다.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⑧ 이에 상고를 기각한다.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5. 판결요지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b/>
          <w:color w:val="000000"/>
          <w:u w:val="single"/>
        </w:rPr>
        <w:t>① 구 수질환경보전법시행규칙 [별표 3]의 (터)목은 (가)목 내지 (처)목에 해당하지 아니하는 새로운 업종을 규율대상으로 하는 것이고 (가)목 내지 (처)목에 해당하는 업종 중 일정량 이상의 폐수를 배출하는 시설을 규율하는 것이 아니다.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6. 적용 법령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  <w:tc>
          <w:tcPr>
            <w:tcW w:type="pct" w:w="3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적용 문구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제2조 제10호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‘폐수배출시설’이란 수질오염물질을 배출하는 시설물, 기계, 기구, 그 밖의 물체로서 기후에너지환경부령으로 정하는 것을 말한다.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제33조 제1항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배출시설을 설치하려는 자는 대통령령으로 정하는 바에 따라 기후에너지환경부장관의 허가를 받거나 기후에너지환경부장관에게 신고하여야 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 시행규칙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제6조 [별표 4]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폐수배출시설의 종류를 업종·공정 단위로 열거하고 있으며, 열거되지 않은 업종을 위한 일반란을 따로 두고 있다.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제35조 제1항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배출시설의 설치 또는 변경에 대한 허가·변경허가를 받은 자 또는 신고·변경신고를 한 자가 그 배출시설을 설치하거나 변경할 때에는 그 배출시설로부터 배출되는 수질오염물질이 배출허용기준 이하로 배출되게 하기 위하여 수질오염방지시설을 설치하여야 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제75조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허가를 받지 아니하거나 거짓으로 허가를 받아 배출시설을 설치하거나 그 배출시설을 이용하여 조업한 자를 처벌한다.</w:t>
            </w:r>
          </w:p>
        </w:tc>
      </w:tr>
    </w:tbl>
    <w:p>
      <w:pPr>
        <w:autoSpaceDN w:val="0"/>
        <w:autoSpaceDE w:val="0"/>
        <w:pStyle w:val="note"/>
        <w:spacing w:before="80"/>
      </w:pPr>
      <w:r>
        <w:rPr>
          <w:rFonts w:ascii="맑은 고딕" w:hAnsi="맑은 고딕" w:eastAsia="맑은 고딕" w:cs="맑은 고딕"/>
          <w:color w:val="000000"/>
        </w:rPr>
        <w:t>※ ‘적용 문구’는 현행 조문을 요약한 것으로, 구법이 적용된 사건은 당시 조문과 다를 수 있습니다.</w:t>
      </w:r>
    </w:p>
    <w:p>
      <w:pPr>
        <w:autoSpaceDN w:val="0"/>
        <w:autoSpaceDE w:val="0"/>
        <w:pStyle w:val="note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autoSpaceDN w:val="0"/>
        <w:autoSpaceDE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https://www.law.go.kr/판례/(97도2674)</w:t>
      </w:r>
    </w:p>
    <w:p>
      <w:pPr>
        <w:autoSpaceDN w:val="0"/>
        <w:autoSpaceDE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#물환경보전법 #폐수배출시설 #별표4 #업종별기준 #염색시설 #경과규정 #형사판례 #대법원판례 #1998년판례 #97도2674 #환경법 #환경인허가 #인허가서대리 #서대리</w:t>
      </w:r>
    </w:p>
    <w:p>
      <w:pPr>
        <w:autoSpaceDN w:val="0"/>
        <w:autoSpaceDE w:val="0"/>
        <w:pStyle w:val="mark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