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E w:val="0"/>
        <w:autoSpaceDN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2"/>
        </w:rPr>
        <w:t>운반을 위탁한 중간재활용업자, 운반차량 증차 변경허가를 받아야 할까요?</w:t>
      </w:r>
    </w:p>
    <w:p>
      <w:pPr>
        <w:pStyle w:val="law1"/>
        <w:autoSpaceDE w:val="0"/>
        <w:autoSpaceDN w:val="0"/>
        <w:spacing w:after="160"/>
      </w:pPr>
      <w:r>
        <w:rPr>
          <w:rFonts w:ascii="맑은 고딕" w:hAnsi="맑은 고딕" w:eastAsia="맑은 고딕" w:cs="맑은 고딕"/>
          <w:color w:val="000000"/>
        </w:rPr>
        <w:t>대법원 2023도1924 (2024. 8. 23. 선고) · 폐기물관리법위반</w:t>
      </w:r>
    </w:p>
    <w:p>
      <w:pPr>
        <w:autoSpaceDE w:val="0"/>
        <w:autoSpaceDN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폐기물 중간재활용업자가 다른 업체에 폐기물 운반을 맡긴 것이 변경허가 대상인 ‘운반차량의 증차’에 해당하는지가 문제된 사건입니다. 대법원은 운반을 위탁한 경우 위탁자에게 변경허가 의무가 없다고 보았습니다.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중간재활용업자가 자기 폐기물을 직접 운반할 수 있나요?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네. 기준을 충족하는 수집·운반차량을 보유하면 그 이용한도 내에서 스스로 운반할 수 있습니다.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운반을 다른 업체에 맡기면 위탁자가 ‘운반차량 증차’ 변경허가를 받아야 하나요?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아니요. 위탁의 경우 차량의 사용·관리권이 수탁자에게 있어, 위탁자는 변경허가 대상이 아닙니다.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그럼 위탁받아 운반한 업체는 문제가 없나요?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해당 폐기물의 수집·운반업 허가 없이 운반했다면, 그 수탁자가 무허가 영업으로 처벌될 수 있습니다.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2023도1924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선고일·법원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2024. 8. 23. · 대법원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폐기물관리법위반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수원지법 2021노4454 (2023. 1. 13.)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원심 파기환송 (피고인에게 유리)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(1) 피고인은 폐기물 중간재활용업 허가를 받아 영업하는 사람입니다.</w:t>
      </w:r>
    </w:p>
    <w:p>
      <w:pPr>
        <w:autoSpaceDE w:val="0"/>
        <w:autoSpaceDN w:val="0"/>
      </w:pP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(2) 수집·운반차량이 부족해 다른 재활용업체와 ‘재활용품 운송계약’을 체결하고 그 업체 차량 3대로 폐기물을 운반하게 하였습니다.</w:t>
      </w:r>
    </w:p>
    <w:p>
      <w:pPr>
        <w:autoSpaceDE w:val="0"/>
        <w:autoSpaceDN w:val="0"/>
      </w:pP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(3) 검사는 이를 변경허가 없이 ‘운반차량을 증차’한 것으로 보아 폐기물관리법 위반으로 기소하였습니다.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  <w:u w:val="single"/>
        </w:rPr>
        <w:t>폐기물 중간재활용업 허가자가 폐기물 운반을 수집·운반업 허가자에게 위탁한 경우, 위탁자에게도 ‘운반차량의 증차’ 변경허가 의무가 있는지가 쟁점입니다.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4. 원심과 대법원의 판단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1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pct" w:w="39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판단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피고인이 다른 업체의 운반차량을 임차하여 사용한 것은 변경허가 대상인 ‘운반차량의 증차’에 해당하는데 변경허가를 받지 않았다 → 유죄.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대법원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① 형벌법규는 엄격히 해석해야 한다. ② 중간재활용업자는 기준을 충족하는 수집·운반차량을 보유하면 그 이용한도 내에서 자가운반할 수 있고, 위탁 금지규정이 없어 수집·운반업 허가자에게 운반을 위탁할 수도 있다. ③ 위탁이면 차량의 사용·관리권이 수탁자에게 있어 위탁자의 ‘증차’로 보기 어렵고, 위탁자는 차량 소유명의자가 아니어서 변경허가를 받을 수도 없다. 계약 실질(임차/위탁)을 심리하지 않은 원심은 위법 → 파기환송.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5. 판결 요지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형벌법규 해석은 엄격해야 하며, 문언의 가능한 의미를 벗어나 피고인에게 불리하게 확장해석할 수 없습니다.</w:t>
      </w:r>
    </w:p>
    <w:p>
      <w:pPr>
        <w:autoSpaceDE w:val="0"/>
        <w:autoSpaceDN w:val="0"/>
      </w:pP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② 중간재활용업 허가자는 기준을 충족하는 수집·운반차량을 보유하면 그 이용한도 내에서 자신의 대상 폐기물을 스스로 운반할 수 있고, 위탁 금지규정이 없으므로 수집·운반업 허가자에게 위탁하여 처리할 수도 있습니다.</w:t>
      </w:r>
    </w:p>
    <w:p>
      <w:pPr>
        <w:autoSpaceDE w:val="0"/>
        <w:autoSpaceDN w:val="0"/>
      </w:pP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③ 운반을 위탁한 경우 차량의 사용·관리권은 수탁자에게 있어 위탁자의 ‘운반차량 증차’로 보기 어렵고, 위탁자는 차량 소유명의자가 아니어서 변경허가를 받을 수도 없습니다.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200"/>
      </w:pPr>
      <w:r>
        <w:rPr>
          <w:rFonts w:ascii="맑은 고딕" w:hAnsi="맑은 고딕" w:eastAsia="맑은 고딕" w:cs="맑은 고딕"/>
          <w:color w:val="000000"/>
        </w:rPr>
        <w:t>적용 법령 조항·문구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4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6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4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폐기물관리법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제25조 제6항</w:t>
            </w:r>
          </w:p>
        </w:tc>
        <w:tc>
          <w:tcPr>
            <w:tcW w:type="pct" w:w="36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 xml:space="preserve">폐기물 중간재활용업 허가를 받은 자는 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  <w:u w:val="single"/>
              </w:rPr>
              <w:t>별도의 폐기물 수집·운반업 허가를 받지 아니하고 그 처리대상 폐기물을 스스로 수집·운반할 수 있다.</w:t>
            </w:r>
          </w:p>
        </w:tc>
      </w:tr>
      <w:tr>
        <w:tc>
          <w:tcPr>
            <w:tcW w:type="pct" w:w="14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폐기물관리법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제25조 제11항</w:t>
            </w:r>
          </w:p>
        </w:tc>
        <w:tc>
          <w:tcPr>
            <w:tcW w:type="pct" w:w="36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 xml:space="preserve">폐기물처리업자가 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  <w:u w:val="single"/>
              </w:rPr>
              <w:t>운반차량의 증차 등 환경부령으로 정하는 중요사항을 변경하려면 변경허가를 받아야 한다.</w:t>
            </w:r>
          </w:p>
        </w:tc>
      </w:tr>
      <w:tr>
        <w:tc>
          <w:tcPr>
            <w:tcW w:type="pct" w:w="14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시행규칙 제29조 제1항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제3호 (라)목</w:t>
            </w:r>
          </w:p>
        </w:tc>
        <w:tc>
          <w:tcPr>
            <w:tcW w:type="pct" w:w="36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 xml:space="preserve">변경허가 대상 중요사항으로 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  <w:u w:val="single"/>
              </w:rPr>
              <w:t>‘운반차량의 증차’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를 규정. 그 취지는 관할청이 수집·운반차량이 기준 구조를 갖췄는지 확인하려는 데 있다.</w:t>
            </w:r>
          </w:p>
        </w:tc>
      </w:tr>
      <w:tr>
        <w:tc>
          <w:tcPr>
            <w:tcW w:type="pct" w:w="14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시행규칙 제28조 제6항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[별표 7]</w:t>
            </w:r>
          </w:p>
        </w:tc>
        <w:tc>
          <w:tcPr>
            <w:tcW w:type="pct" w:w="36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 xml:space="preserve">폐기물처리업의 시설·장비·기술능력 기준. 중간재활용업자가 스스로 수집·운반하려면 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  <w:u w:val="single"/>
              </w:rPr>
              <w:t>수집·운반차량 1대 이상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을 갖추어야 한다(이용한도 내 자가운반 가능).</w:t>
            </w:r>
          </w:p>
        </w:tc>
      </w:tr>
      <w:tr>
        <w:tc>
          <w:tcPr>
            <w:tcW w:type="pct" w:w="14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폐기물관리법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제64조 제5호</w:t>
            </w:r>
          </w:p>
        </w:tc>
        <w:tc>
          <w:tcPr>
            <w:tcW w:type="pct" w:w="36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  <w:u w:val="single"/>
              </w:rPr>
              <w:t>허가 없이 폐기물처리업(수집·운반)을 한 자</w:t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는 형사처벌 대상이며, 위탁받아 무허가 운반한 수탁자에게 적용될 수 있다(위탁자에겐 증차 처벌 적용 곤란).</w:t>
            </w:r>
          </w:p>
        </w:tc>
      </w:tr>
    </w:tbl>
    <w:p>
      <w:pPr>
        <w:pStyle w:val="note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※ 본 정리는 판결문을 요약한 참고자료이며, 구체적 사안은 판결 원문과 전문가 검토가 필요합니다.</w:t>
      </w:r>
    </w:p>
    <w:p>
      <w:pPr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https://www.law.go.kr/판례/(2023도1924)</w:t>
      </w:r>
    </w:p>
    <w:p>
      <w:pPr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#폐기물관리법 #폐기물중간재활용업 #운반차량증차 #변경허가 #자가운반 #폐기물수집운반 #폐기물운반위탁 #대법원판례 #2023도1924 #인허가서대리</w:t>
      </w:r>
    </w:p>
    <w:p>
      <w:pPr>
        <w:pStyle w:val="mark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