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불법매립, 포괄일죄 판단은 ‘매립장소’가 기준입니다</w:t>
      </w:r>
    </w:p>
    <w:p>
      <w:pPr>
        <w:pStyle w:val="law1"/>
        <w:autoSpaceDE w:val="0"/>
        <w:autoSpaceDN w:val="0"/>
        <w:spacing w:after="160"/>
      </w:pPr>
      <w:r>
        <w:rPr>
          <w:rFonts w:ascii="맑은 고딕" w:hAnsi="맑은 고딕" w:eastAsia="맑은 고딕" w:cs="맑은 고딕"/>
          <w:color w:val="000000"/>
        </w:rPr>
        <w:t>대법원 2011도9549 (2013.05.24 선고)</w:t>
      </w:r>
    </w:p>
    <w:p>
      <w:pPr>
        <w:autoSpaceDE w:val="0"/>
        <w:autoSpaceDN w:val="0"/>
        <w:spacing w:after="120"/>
      </w:pPr>
      <w:r>
        <w:rPr>
          <w:rFonts w:ascii="맑은 고딕" w:hAnsi="맑은 고딕" w:eastAsia="맑은 고딕" w:cs="맑은 고딕"/>
          <w:color w:val="000000"/>
        </w:rPr>
        <w:t>○ 사업장폐기물 불법 매립에 의한 폐기물관리법 위반죄가 포괄일죄인지 판단하는 기준이 문제된 사건입니다. 대법원은 매립장소가 중요한 기준이 되며, 범의의 단일·계속성 등을 함께 살펴야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여러 곳에 불법 매립한 사업장폐기물 위반죄는 하나의 죄(포괄일죄)인가요?</w:t>
            </w:r>
          </w:p>
          <w:p>
            <w:pPr>
              <w:autoSpaceDE w:val="0"/>
              <w:autoSpaceDN w:val="0"/>
            </w:pPr>
            <w:r>
              <w:rPr>
                <w:rFonts w:ascii="맑은 고딕" w:hAnsi="맑은 고딕" w:eastAsia="맑은 고딕" w:cs="맑은 고딕"/>
                <w:b w:val="0"/>
                <w:color w:val="000000"/>
                <w:sz w:val="19"/>
              </w:rPr>
              <w:t>A. 매립은 매립장소와 불가분의 관계에 있어 장소에 따라 범죄 성립과 영향이 달라지므로, 매립장소가 포괄일죄 여부를 판단하는 중요한 기준이 되고 매립 경위·기간 등을 함께 살펴야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2011도9549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2013.05.24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 불법 위탁·처리에 의한 폐기물관리법 위반의 점은 그 내용, 시기, 방법 등에 비추어 포괄일죄의 관계에 있어 위 공소사실에 대하여 위와 같이 확정된 약식명령의 기판력이 미친다는 이유로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앞에서 본 법리와 기록에 비추어 살펴보면, 원심의 위와 같은 판단은 정당한 것으로 수긍할 수 있고, 거기에 포괄일죄와 경합범의 구별 기준에 관한 법리를 오해한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한편 위 피고인에 대한 유죄 부분에 관한 원심판결 이유를 적법하게 채택된 증거들에 비추어 살펴보면, 원심이 폐기물 인계·인수 내용 미입력의 점에 관한 판시 공소사실을 포괄일죄로 판단한 것은 정당하고, 거기에 포괄일죄와 경합범의 구별 기준에 관한 법리를 오해한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사업장폐기물 불법 매립에 의한 폐기물관리법 위반죄의 포괄일죄 여부를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피고인 1에 대한 상고이유에 관하여 원심은 ‘피고인 1은 2009. 6. 14.경부터 2010. 1. 17.경까지 원심 판시 범죄일람표 기재와 같이 공소외 주식회사와 피고인 2 운영의 ○○산업개발로부터 위탁받은 사업장폐기물인 무기성 오니 합계 6,720톤을 용인시 처인구 고림동 191-6, 같은 구 유방동 733-1, 2, 같은 구 양지면 대대리 488, 같은 구 운학동 327 일원의 농경지에 무단으로 매립하였다’는 이 부분 공소사실에 대하여, 기록에 의하여 피고인 1이 위 공소사실 기간 전후 여러 해에 걸쳐 낮은 지대의 농지에 토사를 반입하여 성토하는 사토업을 영위하면서 공소사실 기간에 이 사건 매립지에서 사토장을 운영하다가 ‘2009. 11. 16.부터 2009. 12. 2.까지 피고인 2 운영의 ○○산업개발로부터 위탁받은 무기성 오니 약 920톤을 용인시 처인구 양지면 대대리 488 일원의 농경지에 무단으로 매립하였다’는 내용으로 약식명령이 청구되어 2010. 4. 9. 벌금 500만 원의 약식명령을 발령받았으나 정식재판을 청구하여 2010. 12. 23. 벌금 300만 원을 선고받고 2010. 12. 31. 그 판결이 확정된 사실을 인정한 다음, 이 부분 공소사실은 그 보호법익이 동일하고, 범죄 실행 형태가 동종이며, 개개 행위가 시간적·장소적으로 연속되어 있는 점과 함께 범행 횟수, 기간, 방법 등을 종합하여 볼 때 단일하고 계속된 범의를 가지고 일정 기간 계속하여 행한 것으로 포괄일죄 관계에 있고, 위 확정판결의 범죄사실 또한 그 내용, 시기, 방법 등에 비추어 이 부분 공소사실과 포괄일죄 관계에 있어, 위 확정판결의 기판력이 이 부분 공소사실에 미친다는 이유로 이 부분 공소사실에 대하여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그러나 원심의 위와 같은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형사재판이 실체적으로 확정되면 동일한 범죄에 대하여 거듭 처벌할 수 없고, 확정판결이 있는 사건과 동일사건에 대하여 공소의 제기가 있는 경우에는 판결로써 면소의 선고를 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이때 공소사실이나 범죄사실의 동일성 여부는 사실의 동일성이 갖는 법률적 기능을 염두에 두고 피고인의 행위와 그 사회적인 사실관계를 기본으로 하되 그 규범적 요소도 고려하여 판단하여야 한다(대법원 2006. 3. 23. 선고 2005도9678 판결, 대법원 2010. 10. 14. 선고 2009도4785 판결 등 참조). 그리고 포괄일죄의 관계에 있는 범행 일부에 대하여 판결이 확정된 경우에는 사실심 판결선고 시를 기준으로 그 이전에 이루어진 범행에 대하여는 확정판결의 기판력이 미쳐 면소의 판결을 선고하여야 할 것인데(대법원 1994. 8. 9. 선고 94도1318 판결, 대법원 2006. 5. 11. 선고 2006도1252 판결), 동일 죄명에 해당하는 여러 개의 행위 혹은 연속된 행위를 단일하고 계속된 범의하에 일정 기간 계속하여 행하고 그 피해법익도 동일한 경우에는 이들 각 행위를 통틀어 포괄일죄로 처단하여야 할 것이나, 범의의 단일성과 계속성이 인정되지 아니하거나 범행방법 및 장소가 동일하지 않은 경우에는 각 범행은 실체적 경합범에 해당한다(대법원 2005. 9. 30. 선고 2005도4051 판결, 대법원 2006. 9. 8. 선고 2006도3172 판결 등 참조). 한편 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그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된다고 하지 않을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그리고 폐기물의 매립과 관련하여 범의의 단일성과 계속성이 인정되는지를 판단하기 위해서는 위와 같은 폐기물 매립장소에 더하여 그 매립의 경위와 기간, 방법, 도구 등은 물론 폐기물위탁처리업체와의 거래경위나 거래방식이 어떠하고 거기에 변경이 있는지 등을 함께 고려하여야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기록에 의하면, 이 부분 공소사실은 공소사실 자체에 의하더라도 그 매립장소가 위와 같이 4곳으로 구분되어 있고, 폐기물위탁처리업체도 2009. 6. 14.부터 2009. 9. 29.까지는 공소외 주식회사이었다가 2009. 11. 9.부터 2010. 1. 17.까지는 피고인 2 운영의 ○○산업개발로 변경되었음을 알 수 있으므로, 위에서 본 법리에 비추어 원심으로서는 마땅히 위와 같은 매립장소를 중심으로 그 매립의 경위와 기간, 방법, 도구 등은 물론 폐기물위탁처리업체와의 거래경위와 거래방식 등을 두루 살펴본 다음 위 확정판결의 범죄사실과 이 부분 공소사실이 포괄일죄 관계에 있어 동일사건에 해당하는지를 가려 그 확정판결의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 그리고 폐기물의 매립과 관련하여 범의의 단일성과 계속성이 인정되는지를 판단하기 위해서는 위와 같은 폐기물 매립장소에 더하여 매립의 경위와 기간, 방법, 도구 등은 물론 폐기물위탁처리업체와의 거래경위나 거래방식이 어떠하고 거기에 변경이 있는지 등을 함께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w:t>
            </w:r>
          </w:p>
        </w:tc>
        <w:tc>
          <w:tcPr>
            <w:tcW w:type="pct" w:w="3500"/>
          </w:tcPr>
          <w:p>
            <w:pPr>
              <w:autoSpaceDE w:val="0"/>
              <w:autoSpaceDN w:val="0"/>
            </w:pPr>
            <w:r/>
            <w:r>
              <w:rPr>
                <w:rFonts w:ascii="맑은 고딕" w:hAnsi="맑은 고딕" w:eastAsia="맑은 고딕" w:cs="맑은 고딕"/>
                <w:b w:val="0"/>
                <w:color w:val="000000"/>
                <w:sz w:val="19"/>
              </w:rPr>
              <w:t>판결이 확정되지 아니한 수개의 죄 또는 금고 이상의 형에 처한 판결이 확정된 죄와 그 판결확정전에 범한 죄를 경합범으로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t>②누구든지 이 법에 따라 허가 또는 승인을 받거나 신고한 폐기물처리시설이 아닌 곳에서 폐기물을 매립하거나 소각하여서는 아니 된다. 다만, 제14조제1항 단서에 따른 지역에서 해당 특별자치시, 특별자치도, 시ㆍ군ㆍ구의 조례로 정하는 바에 따라 소각하는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7년 이하의 징역이나 7천만원 이하의 벌금에 처한다. 이 경우 징역형과 벌금형은 병과(倂科)할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https://www.law.go.kr/판례/(2011도9549)</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#2011도9549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