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대구광역시 달서구청장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 그럼에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rPr>
        <w:t>① 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상고이유 제2점에 관하여 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상고이유 제3점에 관하여 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 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제7항</w:t>
            </w:r>
          </w:p>
        </w:tc>
        <w:tc>
          <w:tcPr>
            <w:tcW w:type="pct" w:w="3500"/>
          </w:tcPr>
          <w:p>
            <w:pPr>
              <w:autoSpaceDE w:val="0"/>
              <w:autoSpaceDN w:val="0"/>
            </w:pPr>
            <w:r/>
            <w:r>
              <w:rPr>
                <w:rFonts w:ascii="맑은 고딕" w:hAnsi="맑은 고딕" w:eastAsia="맑은 고딕" w:cs="맑은 고딕"/>
                <w:b w:val="0"/>
                <w:color w:val="000000"/>
                <w:sz w:val="19"/>
              </w:rPr>
              <w:t>⑦기후에너지환경부장관 또는 시ㆍ도지사는 제3항에 따른 허가 또는 제11항에 따른 변경허가를 할 때에는 주민생활의 편익, 주변 환경보호 및 폐기물처리업의 효율적 관리 등을 위하여 필요한 조건을 붙일 수 있다. 다만, 영업 구역을 제한하는 조건은 생활폐기물의 수집ㆍ운반업에 대하여 붙일 수 있으며, 이 경우 시ㆍ도지사는 시ㆍ군ㆍ구 단위 미만으로 제한하여서는 아니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