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 사업계획서 적합 여부도 행정청의 광범위한 재량입니다</w:t>
      </w:r>
    </w:p>
    <w:p>
      <w:pPr>
        <w:pStyle w:val="law1"/>
        <w:autoSpaceDE w:val="0"/>
        <w:autoSpaceDN w:val="0"/>
        <w:spacing w:after="160"/>
      </w:pPr>
      <w:r>
        <w:rPr>
          <w:rFonts w:ascii="맑은 고딕" w:hAnsi="맑은 고딕" w:eastAsia="맑은 고딕" w:cs="맑은 고딕"/>
          <w:color w:val="000000"/>
        </w:rPr>
        <w:t>대법원 2017두46783 (2017.10.31 선고)</w:t>
      </w:r>
    </w:p>
    <w:p>
      <w:pPr>
        <w:autoSpaceDE w:val="0"/>
        <w:autoSpaceDN w:val="0"/>
        <w:spacing w:after="120"/>
      </w:pPr>
      <w:r>
        <w:rPr>
          <w:rFonts w:ascii="맑은 고딕" w:hAnsi="맑은 고딕" w:eastAsia="맑은 고딕" w:cs="맑은 고딕"/>
          <w:color w:val="000000"/>
        </w:rPr>
        <w:t>○ 건설폐기물 처리 사업계획서의 적합 여부를 판단할 때 검토사항과 재량 범위가 문제된 사건입니다. 대법원은 환경기준 유지 여부 등 생활·자연환경 영향을 두루 검토하는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건설폐기물 처리 사업계획서 적합 여부에도 행정청의 재량이 인정되나요?</w:t>
            </w:r>
          </w:p>
          <w:p>
            <w:pPr>
              <w:autoSpaceDE w:val="0"/>
              <w:autoSpaceDN w:val="0"/>
            </w:pPr>
            <w:r>
              <w:rPr>
                <w:rFonts w:ascii="맑은 고딕" w:hAnsi="맑은 고딕" w:eastAsia="맑은 고딕" w:cs="맑은 고딕"/>
                <w:b w:val="0"/>
                <w:color w:val="000000"/>
                <w:sz w:val="19"/>
              </w:rPr>
              <w:t>A. 네. 환경기준의 유지를 곤란하게 하는지 등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장래의 환경영향처럼 예측이 필요한 판단은 어떻게 심사하나요?</w:t>
            </w:r>
          </w:p>
          <w:p>
            <w:pPr>
              <w:autoSpaceDE w:val="0"/>
              <w:autoSpaceDN w:val="0"/>
            </w:pPr>
            <w:r>
              <w:rPr>
                <w:rFonts w:ascii="맑은 고딕" w:hAnsi="맑은 고딕" w:eastAsia="맑은 고딕" w:cs="맑은 고딕"/>
                <w:b w:val="0"/>
                <w:color w:val="000000"/>
                <w:sz w:val="19"/>
              </w:rPr>
              <w:t>A. 현저히 불합리하거나 형평·비례원칙에 뚜렷이 배치되지 않는 한 폭넓게 존중됩니다.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2017두46783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유성이앤티 · 피고 부산광역시 기장군수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시·도지사가 건설폐기물 처리업을 하려는 자에게서 제출받은 건설폐기물 처리 사업계획서의 적합 여부를 결정할 때 고려해야 할 검토 사항을 정한 건설폐기물의 재활용촉진에 관한 법률 제21조 제2항 각호의 규정 취지</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건설폐기물 처리 사업계획서의 적합 여부 결정을 위하여 건설폐기물의 재활용촉진에 관한 법률 제21조 제2항 제4호에서 정한 ‘환경기준의 유지를 곤란하게 하는지 여부’를 검토할 때 생활환경과 자연환경에 미치는 영향을 두루 검토하여 적합 여부를 판단할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건설폐기물 처리 사업계획서의 적합 여부 결정에 관하여 행정청에 광범위한 재량권이 인정되는지 여부(적극) 및 이때 재량권 일탈·남용 여부를 심사하는 방법 / 장래에 발생할 불확실한 상황과 파급효과에 대한 예측이 필요한 요건에 관한 행정청의 재량적 판단은 폭넓게 존중되어야 하는지 여부(원칙적 적극) 및 이는 건설폐기물 처리 사업계획서의 적합 여부 결정에 관한 재량권의 일탈·남용 여부를 심사하여 판단할 때에도 고려하여야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남쪽으로 불과 100m 떨어진 곳에 ‘좋음’ 등급의 장안천이 있고, 동쪽으로 400m 떨어진 지점에서부터 주택이 있으므로, 그 이격거리와 원고가 이 사건 사업예정지에 설치하고자 하는 건설폐기물 처리시설의 내역과 규모, 건설폐기물을 파쇄·분쇄하거나 재활용할 수 없는 나머지 폐기물을 소각하거나 매립하는 과정 등에 비추어 비산먼지 그 밖의 오염물질로 위 하천의 수질이 악화되는 등으로 환경기준의 유지가 곤란하게 될 우려 또는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이 사건 사업예정지 근처에 있는 장안일반산업단지 등에서 환경오염물질이 배출되고 있는 상황에서 이 사건 건설폐기물 처리사업으로 발생할 수 있는 환경오염물질로 인한 피해를 고려하면, 위와 같은 인근 주민의 피해는 참을 한도를 넘는다고 볼 여지가 있고, 그로 말미암은 민원 등 주민 간의 분쟁 가능성도 무시할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원심은 향후 건설폐기물로 인하여 인근지역 주민의 생활환경에 심각한 위해가 발생되거나 발생될 우려가 있는 경우 법령에 따라 영업정지처분을 하거나 과징금을 부과하는 등 사업의 운영단계에서 환경피해를 막기 위한 제재적 행정조치를 취할 수 있으므로, 환경피해에 대한 막연한 가능성, 인근 주민들의 탄원만을 이유로 사업계획서 부적합통보를 하는 것은 부당하다고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그러나 이러한 사후적 규제만으로는 충분하지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환경이 오염되면 원상회복이 거의 불가능한 경우가 많아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위와 같은 사정을 앞에서 본 관련 법령과 법리, 환경권에 관한 헌법과 관련 법률, 그리고 적합 여부 결정에 관한 행정청 재량의 범위와 정도 등에 관한 법리에 비추어 살펴보면, 주변 환경에 대해 참을 한도를 넘는 침해의 우려나 그로 인한 주민들 사이의 분쟁 우려를 그 처분사유로 포함하고 있는 피고의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이 사건 처분이 위법하다는 원심의 판단에는 건설폐기물 처리 사업계획서 부적합통보 처분 관련 재량권 일탈·남용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상고이유 중 이 점을 지적하는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상고이유의 나머지 주장에 대한 판단을 생략한 채, 원심판결을 파기하고, 사건을 다시 심리 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건설폐기물의 재활용촉진에 관한 법률(이하 ‘법’이라 한다) 제21조와 건설폐기물의 재활용촉진에 관한 법률 시행규칙(이하 ‘규칙’이라 한다) 제12조 제2항은 폐기물 처리업의 허가 등에 관하여 상세하게 규정하고 있다. 건설폐기물 처리업을 하려는 자는 허가신청에 앞서 사업의 개요와 시설·장비 설치 내역을 기재한 건설폐기물 처리 사업계획서와 함께 건설폐기물의 수집·운반 또는 중간처리계획서(시설설치계획, 장비·기술능력·사업장 부지의 확보계획 포함)를 첨부하여 시·도지사에게 제출하여야 한다(법 제21조 제1항, 규칙 제12조 제2항). 시·도지사는 서류를 제출받아 ‘건설폐기물 처리 사업계획서상의 시설, 장비, 기술능력 등이 허가기준에 맞는지 여부’, ‘건설폐기물 처리시설을 설치·운영하는 경우 환경정책기본법 제12조에 따른 환경기준의 유지를 곤란하게 하는지 여부’ 등 법 제21조 제2항 각호가 정한 여러 사항을 검토한 다음 적합 여부를 결정하여 통보하여야 한다(법 제21조 제2항). 이러한 절차에 따라 적합 통보를 받은 자는 비로소 환경부령으로 정하는 건물 또는 시설 등 기준을 갖추어 건설폐기물 처리업 허가를 받을 수 있다(법 제21조 제3항).</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건설폐기물처리업에 관한 법규는 허가 요건을 일률적·확정적으로 규정하는 형식을 취하지 않고 최소한도만을 정하고 있다. 법 제21조 제2항 각호가 정한 검토 사항은 단순한 행정처분의 발령요건을 정한 것이라기보다는 위 적합 여부 판단·결정에 관한 재량권 행사에서 고려해야 할 다양한 사항의 범위와 기준을 좀 더 구체적이고 명확하게 정한 것으로 볼 수 있다. 그 취지는 건설폐기물 처리업 허가의 사전결정절차로서 중요한 의미를 가지는 폐기물 처리 사업계획서 적합 여부의 통보에 관한 행정작용의 투명성과 적법성을 제고하려는 데 있다.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행정청이 건설폐기물 처리 사업계획서의 적합 여부 결정을 위하여 ‘환경기준의 유지를 곤란하게 하는지 여부’를 검토할 때에는 사람의 건강이나 주변 환경에 영향을 미치는지 여부 등 생활환경과 자연환경에 미치는 영향을 두루 검토하여 적합 여부를 판단할 수 있다. 이것이 법률의 문언이나 입법 목적에 부합할 뿐만 아니라 헌법 규정과 관련 법령의 취지에도 합치된다.</w:t>
      </w:r>
      <w:r>
        <w:rPr>
          <w:rFonts w:ascii="맑은 고딕" w:hAnsi="맑은 고딕" w:eastAsia="맑은 고딕" w:cs="맑은 고딕"/>
          <w:color w:val="000000"/>
        </w:rPr>
        <w:br/>
      </w:r>
      <w:r>
        <w:rPr>
          <w:rFonts w:ascii="맑은 고딕" w:hAnsi="맑은 고딕" w:eastAsia="맑은 고딕" w:cs="맑은 고딕"/>
          <w:b/>
          <w:color w:val="000000"/>
          <w:u w:val="single"/>
        </w:rPr>
        <w:t>[3] 행정청의 건설폐기물 처리 사업계획서에 대한 적합 여부 결정(이하 ‘적합 여부 결정’이라 한다)은 공익에 관한 판단을 해야 하는 것으로서 행정청에 광범위한 재량권이 인정된다. 적합 여부 결정과 관련한 재량권의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‘자연환경·생활환경에 미치는 영향’과 같이 장래에 발생할 불확실한 상황과 파급효과에 대한 예측이 필요한 요건에 관한 행정청의 재량적 판단은 내용이 현저히 합리적이지 않다거나 상반되는 이익이나 가치를 대비해 볼 때 형평이나 비례의 원칙에 뚜렷하게 배치되는 등의 사정이 없는 한 폭넓게 존중될 필요가 있다. 이러한 사항은 적합 여부 결정에 관한 재량권의 일탈·남용 여부를 심사하여 판단할 때에도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제2항</w:t>
            </w:r>
          </w:p>
        </w:tc>
        <w:tc>
          <w:tcPr>
            <w:tcW w:type="pct" w:w="3500"/>
          </w:tcPr>
          <w:p>
            <w:pPr>
              <w:autoSpaceDE w:val="0"/>
              <w:autoSpaceDN w:val="0"/>
            </w:pPr>
            <w:r/>
            <w:r>
              <w:rPr>
                <w:rFonts w:ascii="맑은 고딕" w:hAnsi="맑은 고딕" w:eastAsia="맑은 고딕" w:cs="맑은 고딕"/>
                <w:b w:val="0"/>
                <w:color w:val="000000"/>
                <w:sz w:val="19"/>
              </w:rPr>
              <w:t>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제2항에 따라 사업계획이 적합하다는 통보를 받은 자는 기후에너지환경부령으로 정하는 바에 따라 다음 각 호의 기준을 갖추어 시ㆍ도지사의 허가를 받아야 한다. 이 경우 시ㆍ도지사는 제2항에 따라 사업계획의 적합 통보를 받은 자가 해당 사업계획에 따라 시설, 장비, 기술능력 등의 요건을 갖추어 허가신청을 한 경우에는 지체 없이 허가하여야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제2항</w:t>
            </w:r>
          </w:p>
        </w:tc>
        <w:tc>
          <w:tcPr>
            <w:tcW w:type="pct" w:w="3500"/>
          </w:tcPr>
          <w:p>
            <w:pPr>
              <w:autoSpaceDE w:val="0"/>
              <w:autoSpaceDN w:val="0"/>
            </w:pPr>
            <w:r/>
            <w:r>
              <w:rPr>
                <w:rFonts w:ascii="맑은 고딕" w:hAnsi="맑은 고딕" w:eastAsia="맑은 고딕" w:cs="맑은 고딕"/>
                <w:b w:val="0"/>
                <w:color w:val="000000"/>
                <w:sz w:val="19"/>
              </w:rPr>
              <w:t>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또한 같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환경보전에 관한 국민의 권리ㆍ의무와 국가의 책무를 명확히 하고 환경정책의 기본 사항을 정하여 환경오염과 환경훼손을 예방하고 환경을 적정하고 지속가능하게 관리ㆍ보전함으로써 모든 국민이 건강하고 쾌적한 삶을 누릴 수 있도록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①환경의 질적인 향상과 그 보전을 통한 쾌적한 환경의 조성 및 이를 통한 인간과 환경 간의 조화와 균형의 유지는 국민의 건강과 문화적인 생활의 향유 및 국토의 보전과 항구적인 국가발전에 반드시 필요한 요소임에 비추어 국가, 지방자치단체, 사업자 및 국민은 환경을 보다 양호한 상태로 유지ㆍ조성하도록 노력하고, 환경을 이용하는 모든 행위를 할 때에는 환경보전을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국가는 환경오염 및 환경훼손과 그 위해를 예방하고 환경을 적정하게 관리ㆍ보전하기 위하여 환경계획을 수립하여 시행할 책무를 진다. ② 지방자치단체는 관할 구역의 지역적 특성을 고려하여 국가의 환경계획에 따라 그 지방자치단체의 환경계획을 수립하여 이를 시행할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w:t>
            </w:r>
          </w:p>
        </w:tc>
        <w:tc>
          <w:tcPr>
            <w:tcW w:type="pct" w:w="3500"/>
          </w:tcPr>
          <w:p>
            <w:pPr>
              <w:autoSpaceDE w:val="0"/>
              <w:autoSpaceDN w:val="0"/>
            </w:pPr>
            <w:r/>
            <w:r>
              <w:rPr>
                <w:rFonts w:ascii="맑은 고딕" w:hAnsi="맑은 고딕" w:eastAsia="맑은 고딕" w:cs="맑은 고딕"/>
                <w:b w:val="0"/>
                <w:color w:val="000000"/>
                <w:sz w:val="19"/>
              </w:rPr>
              <w:t>사업자는 그 사업활동으로부터 발생하는 환경오염 및 환경훼손을 스스로 방지하기 위하여 필요한 조치를 하여야 하며, 국가 또는 지방자치단체의 환경보전시책에 참여하고 협력하여야 할 책무를 진다.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모든 국민은 건강하고 쾌적한 환경에서 생활할 권리를 가진다. ② 모든 국민은 국가 및 지방자치단체의 환경보전시책에 협력하여야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제217조 제1항</w:t>
            </w:r>
          </w:p>
        </w:tc>
        <w:tc>
          <w:tcPr>
            <w:tcW w:type="pct" w:w="3500"/>
          </w:tcPr>
          <w:p>
            <w:pPr>
              <w:autoSpaceDE w:val="0"/>
              <w:autoSpaceDN w:val="0"/>
            </w:pPr>
            <w:r/>
            <w:r>
              <w:rPr>
                <w:rFonts w:ascii="맑은 고딕" w:hAnsi="맑은 고딕" w:eastAsia="맑은 고딕" w:cs="맑은 고딕"/>
                <w:b w:val="0"/>
                <w:color w:val="000000"/>
                <w:sz w:val="19"/>
              </w:rPr>
              <w:t>①토지소유자는 매연, 열기체, 액체, 음향, 진동 기타 이에 유사한 것으로 이웃 토지의 사용을 방해하거나 이웃 거주자의 생활에 고통을 주지 아니하도록 적당한 조처를 할 의무가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https://www.law.go.kr/판례/(2017두46783)</w:t>
      </w:r>
    </w:p>
    <w:p>
      <w:pPr>
        <w:autoSpaceDE w:val="0"/>
        <w:autoSpaceDN w:val="0"/>
        <w:spacing w:before="80"/>
      </w:pPr>
      <w:r>
        <w:rPr>
          <w:rFonts w:ascii="맑은 고딕" w:hAnsi="맑은 고딕" w:eastAsia="맑은 고딕" w:cs="맑은 고딕"/>
          <w:color w:val="000000"/>
          <w:sz w:val="18"/>
        </w:rPr>
        <w:t>태그  #폐기물판례 #건설폐기물 #폐기물처리사업계획서 #부적합통보 #행정판례 #대법원판례 #2017년판례 #2017두46783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