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피고인 1 외 1인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대법원의 판단 바젤협약 및 폐기물국가간이동법 개요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⑦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 사안의 쟁점 이 사건의 쟁점은 이 사건 폐엔진이 이 사건 조항에서 규정한 수출입규제폐기물에 해당하는지 여부이다.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⑧ 그리고 이는 이 사건 조항에 따른 규제대상 폐기물에 금속폐기물 자체가 포함된다고 볼 것인지, 아니면 안티몬 등의 합금으로 구성된 금속폐기물만이 포함된다고 볼 것인지 여부에 따라 달라진다.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⑩ 이 사건 조항의 해석 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⑪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수출입규제폐기물을 수입하려는 자는 대통령령으로 정하는 바에 따라 기후에너지환경부장관의 허가를 받아야 한다. 허가받은 사항을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다음 각 호의 어느 하나에 해당하는 자는 5년 이하의 징역 또는 5천만원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폐기물의 국가 간 이동 및 그 처리에 관한 법률 적용대상 폐기물의 품목 제1조 [별지]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[별표 2]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3호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법인의 대표자나 법인 또는 개인의 대리인, 사용인, 그 밖의 종업원이 그 법인 또는 개인의 업무에 관하여 제28조부터 제30조까지의 어느 하나에 해당하는 위반행위를 하면 그 행위자를 벌하는 외에 그 법인 또는 개인에게도 해당 조문의 벌금형을 과(科)한다. 다만, 법인 또는 개인이 그 위반행위를 방지하기 위하여 해당 업무에 관하여 상당한 주의와 감독을 게을리 …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