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양주시장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u w:val="single"/>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제2항</w:t>
            </w:r>
          </w:p>
        </w:tc>
        <w:tc>
          <w:tcPr>
            <w:tcW w:type="pct" w:w="3500"/>
          </w:tcPr>
          <w:p>
            <w:pPr>
              <w:autoSpaceDE w:val="0"/>
              <w:autoSpaceDN w:val="0"/>
            </w:pPr>
            <w:r/>
            <w:r>
              <w:rPr>
                <w:rFonts w:ascii="맑은 고딕" w:hAnsi="맑은 고딕" w:eastAsia="맑은 고딕" w:cs="맑은 고딕"/>
                <w:b w:val="0"/>
                <w:color w:val="000000"/>
                <w:sz w:val="19"/>
              </w:rPr>
              <w:t>②토지나 건물의 소유자ㆍ점유자 또는 관리자는 그가 소유ㆍ점유 또는 관리하고 있는 토지나 건물의 청결을 유지하도록 노력하여야 하며, 특별자치시장, 특별자치도지사, 시장ㆍ군수ㆍ구청장이 정하는 계획에 따라 대청소를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제3항</w:t>
            </w:r>
          </w:p>
        </w:tc>
        <w:tc>
          <w:tcPr>
            <w:tcW w:type="pct" w:w="3500"/>
          </w:tcPr>
          <w:p>
            <w:pPr>
              <w:autoSpaceDE w:val="0"/>
              <w:autoSpaceDN w:val="0"/>
            </w:pPr>
            <w:r/>
            <w:r>
              <w:rPr>
                <w:rFonts w:ascii="맑은 고딕" w:hAnsi="맑은 고딕" w:eastAsia="맑은 고딕" w:cs="맑은 고딕"/>
                <w:b w:val="0"/>
                <w:color w:val="000000"/>
                <w:sz w:val="19"/>
              </w:rPr>
              <w:t>③특별자치시장, 특별자치도지사, 시장ㆍ군수ㆍ구청장은 토지나 건물의 소유자ㆍ점유자 또는 관리자가 제7조제2항에 따라 청결을 유지하지 아니하면 해당 지방자치단체의 조례에 따라 필요한 조치를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w:t>
            </w:r>
          </w:p>
        </w:tc>
        <w:tc>
          <w:tcPr>
            <w:tcW w:type="pct" w:w="3500"/>
          </w:tcPr>
          <w:p>
            <w:pPr>
              <w:autoSpaceDE w:val="0"/>
              <w:autoSpaceDN w:val="0"/>
            </w:pPr>
            <w:r/>
            <w:r>
              <w:rPr>
                <w:rFonts w:ascii="맑은 고딕" w:hAnsi="맑은 고딕" w:eastAsia="맑은 고딕" w:cs="맑은 고딕"/>
                <w:b w:val="0"/>
                <w:color w:val="000000"/>
                <w:sz w:val="19"/>
              </w:rPr>
              <w:t>①누구든지 특별자치시장, 특별자치도지사, 시장ㆍ군수ㆍ구청장이나 공원ㆍ도로 등 시설의 관리자가 폐기물의 수집을 위하여 마련한 장소나 설비 외의 장소에 폐기물을 버리거나, 특별자치시, 특별자치도, 시ㆍ군ㆍ구의 조례로 정하는 방법 또는 공원ㆍ도로 등 시설의 관리자가 지정한 방법을 따르지 아니하고 생활폐기물을 버려서는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제3호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 제3항 제2호</w:t>
            </w:r>
          </w:p>
        </w:tc>
        <w:tc>
          <w:tcPr>
            <w:tcW w:type="pct" w:w="3500"/>
          </w:tcPr>
          <w:p>
            <w:pPr>
              <w:autoSpaceDE w:val="0"/>
              <w:autoSpaceDN w:val="0"/>
            </w:pPr>
            <w:r/>
            <w:r>
              <w:rPr>
                <w:rFonts w:ascii="맑은 고딕" w:hAnsi="맑은 고딕" w:eastAsia="맑은 고딕" w:cs="맑은 고딕"/>
                <w:b w:val="0"/>
                <w:color w:val="000000"/>
                <w:sz w:val="19"/>
              </w:rPr>
              <w:t>③다음 각 호의 어느 하나에 해당하는 자에게는 100만원 이하의 과태료를 부과한다.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