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종합재활용업 사업계획서도 행정청의 광범위한 재량으로 심사합니다</w:t>
      </w:r>
    </w:p>
    <w:p>
      <w:pPr>
        <w:pStyle w:val="law1"/>
        <w:autoSpaceDE w:val="0"/>
        <w:autoSpaceDN w:val="0"/>
        <w:spacing w:after="160"/>
      </w:pPr>
      <w:r>
        <w:rPr>
          <w:rFonts w:ascii="맑은 고딕" w:hAnsi="맑은 고딕" w:eastAsia="맑은 고딕" w:cs="맑은 고딕"/>
          <w:color w:val="000000"/>
        </w:rPr>
        <w:t>대법원 2019두45579 (2019.12.24 선고)</w:t>
      </w:r>
    </w:p>
    <w:p>
      <w:pPr>
        <w:autoSpaceDE w:val="0"/>
        <w:autoSpaceDN w:val="0"/>
        <w:spacing w:after="120"/>
      </w:pPr>
      <w:r>
        <w:rPr>
          <w:rFonts w:ascii="맑은 고딕" w:hAnsi="맑은 고딕" w:eastAsia="맑은 고딕" w:cs="맑은 고딕"/>
          <w:color w:val="000000"/>
        </w:rPr>
        <w:t>○ 폐기물처리 종합재활용업 사업계획서의 적합 여부 판단 재량과 취소소송 심리방법이 문제된 사건입니다. 대법원은 광범위한 재량을 인정하고, 처분서가 간략하면 소송에서 사유를 구체화해야 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종합재활용업 사업계획서 적합 여부에도 행정청의 광범위한 재량이 인정되나요?</w:t>
            </w:r>
          </w:p>
          <w:p>
            <w:pPr>
              <w:autoSpaceDE w:val="0"/>
              <w:autoSpaceDN w:val="0"/>
            </w:pPr>
            <w:r>
              <w:rPr>
                <w:rFonts w:ascii="맑은 고딕" w:hAnsi="맑은 고딕" w:eastAsia="맑은 고딕" w:cs="맑은 고딕"/>
                <w:b w:val="0"/>
                <w:color w:val="000000"/>
                <w:sz w:val="19"/>
              </w:rPr>
              <w:t>A. 네. 생활환경·자연환경 영향을 두루 검토하는 광범위한 재량이 인정됩니다.</w:t>
            </w:r>
          </w:p>
          <w:p>
            <w:pPr>
              <w:autoSpaceDE w:val="0"/>
              <w:autoSpaceDN w:val="0"/>
            </w:pPr>
          </w:p>
          <w:p>
            <w:pPr>
              <w:autoSpaceDE w:val="0"/>
              <w:autoSpaceDN w:val="0"/>
            </w:pPr>
            <w:r>
              <w:rPr>
                <w:rFonts w:ascii="맑은 고딕" w:hAnsi="맑은 고딕" w:eastAsia="맑은 고딕" w:cs="맑은 고딕"/>
                <w:b/>
                <w:color w:val="000000"/>
                <w:sz w:val="19"/>
              </w:rPr>
              <w:t>Q. 처분서에 불확정개념만 간략히 적은 경우 소송에서는 어떻게 되나요?</w:t>
            </w:r>
          </w:p>
          <w:p>
            <w:pPr>
              <w:autoSpaceDE w:val="0"/>
              <w:autoSpaceDN w:val="0"/>
            </w:pPr>
            <w:r>
              <w:rPr>
                <w:rFonts w:ascii="맑은 고딕" w:hAnsi="맑은 고딕" w:eastAsia="맑은 고딕" w:cs="맑은 고딕"/>
                <w:b w:val="0"/>
                <w:color w:val="000000"/>
                <w:sz w:val="19"/>
              </w:rPr>
              <w:t>A. 행정청이 구체적 불허가사유를 분명히 해야 하고, 원고는 그 사유에 재량 일탈·남용이 있음을 밝히기 위해 추가 주장·자료를 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2019두45579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2019.12.24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주식회사 성국환경 · 피고 화천군수</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[1] 행정청이 폐기물처리사업계획서의 적합 여부를 판단하는 방법 및 폐기물처리사업계획서의 적합 여부 판단에 관하여 행정청에 광범위한 재량권이 인정되는지 여부(적극) / 법원이 폐기물처리사업계획서의 적합 여부 결정과 관련한 행정청의 재량권 일탈·남용 여부를 심사하는 방법</w:t>
      </w:r>
      <w:r>
        <w:rPr>
          <w:rFonts w:ascii="맑은 고딕" w:hAnsi="맑은 고딕" w:eastAsia="맑은 고딕" w:cs="맑은 고딕"/>
          <w:color w:val="000000"/>
        </w:rPr>
        <w:br/>
      </w:r>
      <w:r>
        <w:rPr>
          <w:rFonts w:ascii="맑은 고딕" w:hAnsi="맑은 고딕" w:eastAsia="맑은 고딕" w:cs="맑은 고딕"/>
          <w:color w:val="000000"/>
          <w:u w:val="single"/>
        </w:rPr>
        <w:t>[2] 행정청이 처분서에 불확정개념으로 규정된 법령상의 허가기준 등을 충족하지 못하였다는 취지만 간략히 기재하여 폐기물처리사업계획서 부적합 통보를 한 경우, 부적합 통보에 대한 취소소송절차에서 행정청은 구체적 불허가사유를 분명히 하여야 하고, 원고는 행정청이 제시한 구체적인 불허가사유에 관한 판단과 근거에 재량권 일탈·남용의 위법이 있음을 밝히기 위해 추가적인 주장 및 자료를 제출할 필요가 있는지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판단은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이 사건 사업예정지로부터 가까운 거리에 집단거주지역이 위치하고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원고가 이 사건 사업예정지에 설치·운영하고자 하는 폐기물처리시설의 규모, 폐기물처리업의 공정 등을 살펴보면, 폐기물 수집·운반 과정 및 폐기물 분쇄 등의 공정에서 발생하는 비산먼지나 그 밖의 오염물질이 인근 주민의 생활환경에 참을 한도를 넘는 나쁜 영향을 줄 우려가 있다고 볼 여지가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특히 이 사건 사업예정지에서 발생한 비산먼지는 이 사건 사업예정지가 연접하고 있는 국도 □□호선을 따라 인근 집단거주지역까지 쉽게 확산될 가능성이 높아 보이기 때문에, 이 사건 사업예정지에서의 사업 영위로 인하여 발생하는 비산먼지 등으로 인한 생활환경 침해의 정도를 간과할 수 있는 사항은 아닌 것으로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이 사건 사업예정지 북쪽 약 100m 지점에는 인근 집단거주지역 방향으로 흐르는 하천이 위치하고 있고, 위 하천이 인근 주민들의 농업용수와 식수로 사용될 가능성이 있어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원고가 이 사건 사업예정지 내부에 정화 수조를 설치할 것이라는 계획만으로 하천 수질오염 발생 우려가 완전히 사라졌다고 단정하기는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원고가 제출한 사업계획서에 의하면, 이 사건 사업예정지로 매일 60t의 사업용 폐기물을 운반하고, 이 사건 사업예정지에서 매일 53t의 재활용품을 출하할 예정이다.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폐기물 운반 및 재활용품 출하를 위하여 대형 트럭이 빈번하게 출입하는 상황은 인근 지역의 교통 위험을 증가시키는 요인이 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⑨ 환경이 오염되면 원상회복이 거의 불가능한 경우가 많아 사후적 규제만으로 환경오염으로 인한 피해를 회복하는 데 한계가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환경이 심각하게 오염될 우려가 있는 경우에는 이를 미리 방지하는 것이 중요하다.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⑪ 따라서 ‘환경기준의 유지가 곤란하게 되는 등 사람의 건강이나 주변 환경에 영향을 미치는 우려’를 처분사유로 하는 이 사건 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⑫ 그렇다면 원심으로서는 단순히 피고가 비산먼지, 수질오염, 인근 집단거주지역 주거환경에의 악영향 우려를 인정할 객관적인 자료를 제시하지 못하고 있다는 이유로 피고의 판단에 재량권 일탈·남용의 위법이 있다고 단정할 것이 아니라, 원고로 하여금 피고의 판단의 위법성과 관련한 주장 및 자료를 추가로 제출하게 하여 이를 심리하였어야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⑬ 그런데도 원심은 그에 관한 심리를 더 하지 않고, 곧바로 이 사건 처분에 재량권을 일탈·남용한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⑭ 이러한 원심판단에는 폐기물관리법상 폐기물처리사업계획서 적합 여부 통보 등에 관한 법리를 오해하여 필요한 심리를 다하지 않음으로써 판결에 영향을 미친 잘못이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u w:val="single"/>
        </w:rPr>
        <w:t>[1] 폐기물관리법 제1조, 제25조 제1항, 제2항 제4호, 환경정책기본법 제12조 제1항, 제13조, 제3조 제1호의 내용과 체계, 입법 취지에 비추어 보면, 행정청은 사람의 건강이나 주변 환경에 영향을 미치는지 여부 등 생활환경과 자연환경에 미치는 영향을 두루 검토하여 폐기물처리사업계획서의 적합 여부를 판단할 수 있으며, 이에 관해서는 행정청에 광범위한 재량권이 인정된다.</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  따라서 법원이 적합 여부 결정과 관련한 행정청의 재량권 일탈·남용 여부를 심사할 때에는 해당 지역의 자연환경, 주민들의 생활환경 등 구체적 지역 상황, 상반되는 이익을 가진 이해관계자들 사이의 권익 균형과 환경권의 보호에 관한 각종 규정의 입법 취지 등을 종합하여 신중하게 판단하여야 한다. ‘자연환경·생활환경에 미치는 영향’과 같이 장래에 발생할 불확실한 상황과 파급효과에 대한 예측이 필요한 요건에 관한 행정청의 재량적 판단은 그 내용이 현저히 합리적이지 않다거나 상반되는 이익이나 가치를 대비해 볼 때 형평이나 비례의 원칙에 뚜렷하게 배치되는 등의 사정이 없는 한 폭넓게 존중될 필요가 있다.</w:t>
      </w:r>
      <w:r>
        <w:rPr>
          <w:rFonts w:ascii="맑은 고딕" w:hAnsi="맑은 고딕" w:eastAsia="맑은 고딕" w:cs="맑은 고딕"/>
          <w:color w:val="000000"/>
        </w:rPr>
        <w:br/>
      </w:r>
      <w:r>
        <w:rPr>
          <w:rFonts w:ascii="맑은 고딕" w:hAnsi="맑은 고딕" w:eastAsia="맑은 고딕" w:cs="맑은 고딕"/>
          <w:b/>
          <w:color w:val="000000"/>
          <w:u w:val="single"/>
        </w:rPr>
        <w:t>[2] 행정청이 폐기물처리사업계획서 부적합 통보를 하면서 처분서에 불확정개념으로 규정된 법령상의 허가기준 등을 충족하지 못하였다는 취지만을 간략히 기재하였다면, 부적합 통보에 대한 취소소송절차에서 행정청은 그 처분을 하게 된 판단 근거나 자료 등을 제시하여 구체적 불허가사유를 분명히 하여야 한다. 이러한 경우 재량행위인 폐기물처리사업계획서 부적합 통보의 효력을 다투는 원고로서는 행정청이 제시한 구체적인 불허가사유에 관한 판단과 근거에 재량권 일탈·남용의 위법이 있음을 밝히기 위하여 소송절차에서 추가적인 주장을 하고 자료를 제출할 필요가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제4호</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국가는 생태계 또는 인간의 건강에 미치는 영향 등을 고려하여 환경기준을 설정하여야 하며, 환경 여건의 변화에 따라 그 적정성이 유지되도록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E w:val="0"/>
              <w:autoSpaceDN w:val="0"/>
            </w:pPr>
            <w:r/>
            <w:r>
              <w:rPr>
                <w:rFonts w:ascii="맑은 고딕" w:hAnsi="맑은 고딕" w:eastAsia="맑은 고딕" w:cs="맑은 고딕"/>
                <w:b w:val="0"/>
                <w:color w:val="000000"/>
                <w:sz w:val="19"/>
              </w:rPr>
              <w:t>국가 및 지방자치단체는 환경에 관계되는 법령을 제정 또는 개정하거나 행정계획의 수립 또는 사업의 집행을 할 때에는 제12조에 따른 환경기준이 적절히 유지되도록 다음 사항을 고려하여야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제26조 [증명책임]</w:t>
            </w:r>
          </w:p>
        </w:tc>
        <w:tc>
          <w:tcPr>
            <w:tcW w:type="pct" w:w="3500"/>
          </w:tcPr>
          <w:p>
            <w:pPr>
              <w:autoSpaceDE w:val="0"/>
              <w:autoSpaceDN w:val="0"/>
            </w:pPr>
            <w:r/>
            <w:r>
              <w:rPr>
                <w:rFonts w:ascii="맑은 고딕" w:hAnsi="맑은 고딕" w:eastAsia="맑은 고딕" w:cs="맑은 고딕"/>
                <w:b w:val="0"/>
                <w:color w:val="000000"/>
                <w:sz w:val="19"/>
              </w:rPr>
              <w:t>법원은 필요하다고 인정할 때에는 직권으로 증거조사를 할 수 있고, 당사자가 주장하지 아니한 사실에 대하여도 판단할 수 있다.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https://www.law.go.kr/판례/(2019두45579)</w:t>
      </w:r>
    </w:p>
    <w:p>
      <w:pPr>
        <w:autoSpaceDE w:val="0"/>
        <w:autoSpaceDN w:val="0"/>
        <w:spacing w:before="80"/>
      </w:pPr>
      <w:r>
        <w:rPr>
          <w:rFonts w:ascii="맑은 고딕" w:hAnsi="맑은 고딕" w:eastAsia="맑은 고딕" w:cs="맑은 고딕"/>
          <w:color w:val="000000"/>
          <w:sz w:val="18"/>
        </w:rPr>
        <w:t>태그  #폐기물판례 #폐기물재활용 #폐기물처리사업계획서 #부적합통보 #종합재활용업 #행정판례 #대법원판례 #2019년판례 #2019두45579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