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주식회사 · 피고 한국환경공단 외 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[별표 2] 제5호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자원의 절약과 재활용촉진에 관한 법률 시행령 부칙 제2조</w:t>
            </w:r>
          </w:p>
        </w:tc>
        <w:tc>
          <w:tcPr>
            <w:tcW w:type="pct" w:w="3500"/>
          </w:tcPr>
          <w:p>
            <w:pPr>
              <w:autoSpaceDE w:val="0"/>
              <w:autoSpaceDN w:val="0"/>
            </w:pPr>
            <w:r/>
            <w:r>
              <w:rPr>
                <w:rFonts w:ascii="맑은 고딕" w:hAnsi="맑은 고딕" w:eastAsia="맑은 고딕" w:cs="맑은 고딕"/>
                <w:b w:val="0"/>
                <w:color w:val="000000"/>
                <w:sz w:val="19"/>
              </w:rPr>
              <w:t>법 제12조제1항에 따라 제조업자 또는 수입업자가 내야 하는 비용(이하 "폐기물부담금"이라 한다)의 산출기준은 별표 2와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 제1호</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국민건강증진법 부칙 제2조</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제1항에 따라 출연하여야 하는 금액은 제조업자가 제조하여 판매하는 담배 중 궐련(「지방세법」 제48조제2항제1호가목에 따른 담배로서, 「지방세법」 제54조에 따라 담배소비세가 면제되는 것과 같은 법 제63조제1항제1호 및 제2호에 따라 담배소비세액이 공제 또는 환급되는 것은 제외한다. 이하 이 조에서 같다) 20개비당 5원으로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부칙 제1조</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 ② 제1항에 따라 출연하여야 하는 금액은 제조업자가 제조하여 판매하는 담배 중 궐련(「지방세법」 제48조제2항제1호가목에 따른 담배로서,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①법 제11조의3제1항에 따라 담배제조업을 양도하려는 자는 양도계약일부터 7일 이내에 별지 제4호서식의 담배제조업의 양도ㆍ양수신고서에 다음 각 호의 서류를 첨부하여 재정경제부장관에게 신고하여야 한다. ②법 제11조의3제1항에 따라 제조업자가 다른 법인과 합병하려는 경우에는 합병계약일부터 7일 이내에 별지 제5호서식의 담배제조업의 합병신고서에 다음 각 호의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 제1항 제1호 목</w:t>
            </w:r>
          </w:p>
        </w:tc>
        <w:tc>
          <w:tcPr>
            <w:tcW w:type="pct" w:w="3500"/>
          </w:tcPr>
          <w:p>
            <w:pPr>
              <w:autoSpaceDE w:val="0"/>
              <w:autoSpaceDN w:val="0"/>
            </w:pPr>
            <w:r/>
            <w:r>
              <w:rPr>
                <w:rFonts w:ascii="맑은 고딕" w:hAnsi="맑은 고딕" w:eastAsia="맑은 고딕" w:cs="맑은 고딕"/>
                <w:b w:val="0"/>
                <w:color w:val="000000"/>
                <w:sz w:val="19"/>
              </w:rPr>
              <w:t>① 담배소비세의 세율은 다음 각 호와 같다. 다만, 연초(연초를 원료로 한 니코틴을 포함한다)를 원료의 전부 또는 일부로 하여 제조한 담배가 아닌 담배에 대하여는 다음 각 호의 세율에 100분의 50을 곱한 세율을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제53조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담배에 대하여는 담배소비세를 징수하지 아니한다. ② 제1항에 따라 반입된 담배에 대해서는 그 반입장소를 제조장 또는 보세구역으로 보고, 반입자를 제조자 또는 수입판매업자로 보아 담배소비세의 부과 또는 면제에 관한 규정을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w:t>
            </w:r>
          </w:p>
        </w:tc>
        <w:tc>
          <w:tcPr>
            <w:tcW w:type="pct" w:w="3500"/>
          </w:tcPr>
          <w:p>
            <w:pPr>
              <w:autoSpaceDE w:val="0"/>
              <w:autoSpaceDN w:val="0"/>
            </w:pPr>
            <w:r/>
            <w:r>
              <w:rPr>
                <w:rFonts w:ascii="맑은 고딕" w:hAnsi="맑은 고딕" w:eastAsia="맑은 고딕" w:cs="맑은 고딕"/>
                <w:b w:val="0"/>
                <w:color w:val="000000"/>
                <w:sz w:val="19"/>
              </w:rPr>
              <w:t>① 제조자 또는 수입판매업자가 담배를 다음 각 호의 어느 하나의 용도에 제공하는 경우에는 담배소비세를 면제한다. ② 입국자가 반입하는 담배로서 대통령령으로 정하는 범위의 담배에 대해서는 담배소비세를 면제한다.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제1항 제4호</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부칙 제2조</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 ② 지방자치단체의 장은 지방교육투자재원의 조달을 위하여 필요한 경우에는 해당 지방자치단체의 조례로 정하는 바에 따라 지방교육세의 세율을 제1항(같은 항 제3호는 제외한다)의 표준세율의 100분의 50의 범위에서 가감할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이 법에 따른 지방세를 부과ㆍ징수하는 지방자치단체는 「지방세기본법」 제8조 및 제9조의 지방자치단체의 세목 구분에 따라 해당 지방세의 과세 주체가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제2항 제6호</w:t>
            </w:r>
          </w:p>
        </w:tc>
        <w:tc>
          <w:tcPr>
            <w:tcW w:type="pct" w:w="3500"/>
          </w:tcPr>
          <w:p>
            <w:pPr>
              <w:autoSpaceDE w:val="0"/>
              <w:autoSpaceDN w:val="0"/>
            </w:pPr>
            <w:r/>
            <w:r>
              <w:rPr>
                <w:rFonts w:ascii="맑은 고딕" w:hAnsi="맑은 고딕" w:eastAsia="맑은 고딕" w:cs="맑은 고딕"/>
                <w:b w:val="0"/>
                <w:color w:val="000000"/>
                <w:sz w:val="19"/>
              </w:rPr>
              <w:t>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부칙 제2조</w:t>
            </w:r>
          </w:p>
        </w:tc>
        <w:tc>
          <w:tcPr>
            <w:tcW w:type="pct" w:w="3500"/>
          </w:tcPr>
          <w:p>
            <w:pPr>
              <w:autoSpaceDE w:val="0"/>
              <w:autoSpaceDN w:val="0"/>
            </w:pPr>
            <w:r/>
            <w:r>
              <w:rPr>
                <w:rFonts w:ascii="맑은 고딕" w:hAnsi="맑은 고딕" w:eastAsia="맑은 고딕" w:cs="맑은 고딕"/>
                <w:b w:val="0"/>
                <w:color w:val="000000"/>
                <w:sz w:val="19"/>
              </w:rPr>
              <w:t>① 개별소비세는 특정한 물품, 특정한 장소 입장행위(入場行爲), 특정한 장소에서의 유흥음식행위(遊興飮食行爲) 및 특정한 장소에서의 영업행위에 대하여 부과한다. 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w:t>
            </w:r>
          </w:p>
        </w:tc>
        <w:tc>
          <w:tcPr>
            <w:tcW w:type="pct" w:w="3500"/>
          </w:tcPr>
          <w:p>
            <w:pPr>
              <w:autoSpaceDE w:val="0"/>
              <w:autoSpaceDN w:val="0"/>
            </w:pPr>
            <w:r/>
            <w:r>
              <w:rPr>
                <w:rFonts w:ascii="맑은 고딕" w:hAnsi="맑은 고딕" w:eastAsia="맑은 고딕" w:cs="맑은 고딕"/>
                <w:b w:val="0"/>
                <w:color w:val="000000"/>
                <w:sz w:val="19"/>
              </w:rPr>
              <w:t>이 규칙에서 정한 것 외에 위원회의 운영에 필요한 사항은 위원회의 규정으로 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