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(2023.07.27 선고)</w:t>
      </w:r>
    </w:p>
    <w:p>
      <w:pPr>
        <w:autoSpaceDE w:val="0"/>
        <w:autoSpaceDN w:val="0"/>
        <w:spacing w:after="120"/>
      </w:pPr>
      <w:r>
        <w:rPr>
          <w:rFonts w:ascii="맑은 고딕" w:hAnsi="맑은 고딕" w:eastAsia="맑은 고딕" w:cs="맑은 고딕"/>
          <w:color w:val="000000"/>
        </w:rPr>
        <w:t>○ 폐기물처리사업계획서를 반려·부적합 통보할 때의 재량 범위와 취소소송에서의 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2023두35661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영천시장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피고가 반려처분서에 처분사유를 ‘폐기물관리법 제25조 제7항 및 이 사건 지침 제3조에 따른 주민 건강 및 주변 환경 영향 여부를 확인하기 위한 주민동의서 미제출’이라고만 기재하였으나, 이 사건 소송과정에서 ① 비산먼지나 그 밖의 오염물질이 가까운 거리에 있는 주민생활에 영향을 줄 우려가 있고, ② 「소음·진동관리법 시행규칙」 제2조의2 [별표 1]에 의해 소음·진동배출시설로 규정된 분쇄시설을 운영할 때 소음·진동 발생이 우려되며, ③ 화재 사례가 빈번한 폐합성수지류 보관 및 처리 중 화재 발생 시 산불로의 확산이 우려되고, ④ 연간 14,400t의 폐기물 반입과 9,000t의 제품 출하를 위해 대형트럭이 빈번하게 출입하여 인근 지역의 교통 위험을 증가시키며,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 사건 폐기물처리사업계획서에 의하면, 원고가 운영하려는 폐기물처리시설에는 1일 약 48t의 폐합성수지류 폐기물이 운반되는데, 그 폐기물처리시설에서는 이를 선별하고 분쇄하여 고형연료제품(비성형)을 1일 약 12t, 중간가공 폐기물을 1일 약 18t씩 생산하겠다는 것인바, 이와 같은 폐기물 처리과정에서는 소음, 분진, 진동이 발생하고, 폐기물과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이 사건 폐기물처리사업계획서에 주변 환경에 대한 영향을 방지하기 위한 시설로서 구체적으로 기재되어 있는 것은 선별·분쇄과정에서 발생하는 비산먼지를 방지하기 위한 여과집진시설 1대뿐이다.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그것만으로는 폐기물처리시설로 인하여 발생할 수 있는 환경상의 악영향을 방지하는 것이 불가능하다고 본 피고의 판단이 불합리하다고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원고는 위 폐기물처리시설로 매일 약 48t의 폐기물을 운반하고, 폐기물처리시설에서 약 30t의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환경이 심각하게 오염될 우려가 있는 경우에는 이를 미리 방지하는 것이 중요한데, 현재 원고가 제출한 증거만으로는 ‘주민들의 건강이나 주변 환경에 영향을 미칠 우려’를 처분사유로 하는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따라서 원심으로서는 단순히 피고가 보완서류 미이행(주민동의서 미제출)을 이유로 반려처분을 하였다는 전제에서 그 반려처분에 재량권 일탈·남용의 위법이 있다고 단정할 것이 아니라, 원고로 하여금 폐기물처리시설 예정지의 자연환경, 기반시설과 인근의 주거시설, 상업시설, 산업시설, 근린생활시설 등의 위치, 규모 및 현황을 확인할 수 있는 자료 및 원고가 운영할 폐기물처리시설이 주민들의 건강과 주변 환경에 어떠한 영향을 주는지에 관한 주장 및 자료를 제출하게 하여 그 폐기물처리시설로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그럼에도 원심은 그에 관한 조치를 취하거나 심리를 하지 않고, 곧바로 피고의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⑫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#2023두35661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